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8D" w:rsidRPr="003B1269" w:rsidRDefault="00D53C97" w:rsidP="00D53C97">
      <w:pPr>
        <w:jc w:val="center"/>
        <w:rPr>
          <w:rFonts w:ascii="Calibri" w:hAnsi="Calibri"/>
          <w:b/>
          <w:color w:val="4472C4"/>
          <w:sz w:val="36"/>
          <w:szCs w:val="36"/>
        </w:rPr>
      </w:pPr>
      <w:r w:rsidRPr="003B1269">
        <w:rPr>
          <w:rFonts w:ascii="Calibri" w:hAnsi="Calibri"/>
          <w:b/>
          <w:color w:val="4472C4"/>
          <w:sz w:val="36"/>
          <w:szCs w:val="36"/>
        </w:rPr>
        <w:t>Pyramid of Intervention Supports</w:t>
      </w:r>
    </w:p>
    <w:p w:rsidR="000D659E" w:rsidRDefault="000D659E" w:rsidP="00D53C97">
      <w:pPr>
        <w:jc w:val="center"/>
        <w:rPr>
          <w:rFonts w:ascii="Calibri" w:hAnsi="Calibri"/>
          <w:b/>
          <w:color w:val="800000"/>
          <w:sz w:val="32"/>
          <w:szCs w:val="3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473DB5" w:rsidRPr="008C6C00" w:rsidTr="00473DB5">
        <w:tc>
          <w:tcPr>
            <w:tcW w:w="4632" w:type="dxa"/>
            <w:shd w:val="clear" w:color="auto" w:fill="auto"/>
          </w:tcPr>
          <w:p w:rsidR="00473DB5" w:rsidRPr="008C6C00" w:rsidRDefault="00D175F9" w:rsidP="008C6C00">
            <w:pPr>
              <w:tabs>
                <w:tab w:val="left" w:pos="11250"/>
              </w:tabs>
              <w:rPr>
                <w:rFonts w:ascii="Calibri" w:hAnsi="Calibri"/>
                <w:b/>
                <w:noProof/>
                <w:color w:val="FF0000"/>
              </w:rPr>
            </w:pPr>
            <w:r w:rsidRPr="008C6C00">
              <w:rPr>
                <w:rFonts w:ascii="Calibri" w:hAnsi="Calibri"/>
                <w:b/>
                <w:noProof/>
                <w:color w:val="FF000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172085</wp:posOffset>
                  </wp:positionV>
                  <wp:extent cx="3215005" cy="54305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005" cy="543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DB5" w:rsidRPr="008C6C00">
              <w:rPr>
                <w:rFonts w:ascii="Calibri" w:hAnsi="Calibri"/>
                <w:b/>
                <w:sz w:val="28"/>
                <w:szCs w:val="28"/>
              </w:rPr>
              <w:t>What we’re already doing</w:t>
            </w:r>
          </w:p>
        </w:tc>
        <w:tc>
          <w:tcPr>
            <w:tcW w:w="4632" w:type="dxa"/>
            <w:shd w:val="clear" w:color="auto" w:fill="auto"/>
          </w:tcPr>
          <w:p w:rsidR="00473DB5" w:rsidRPr="008C6C00" w:rsidRDefault="00473DB5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32" w:type="dxa"/>
            <w:shd w:val="clear" w:color="auto" w:fill="auto"/>
          </w:tcPr>
          <w:p w:rsidR="00473DB5" w:rsidRPr="008C6C00" w:rsidRDefault="00473DB5" w:rsidP="008C6C00">
            <w:pPr>
              <w:tabs>
                <w:tab w:val="left" w:pos="11250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C6C00">
              <w:rPr>
                <w:rFonts w:ascii="Calibri" w:hAnsi="Calibri"/>
                <w:b/>
                <w:sz w:val="28"/>
                <w:szCs w:val="28"/>
              </w:rPr>
              <w:t>What we’d like to do</w:t>
            </w:r>
          </w:p>
        </w:tc>
      </w:tr>
      <w:tr w:rsidR="00737D0B" w:rsidRPr="008C6C00" w:rsidTr="00083235">
        <w:trPr>
          <w:trHeight w:val="3771"/>
        </w:trPr>
        <w:tc>
          <w:tcPr>
            <w:tcW w:w="4632" w:type="dxa"/>
            <w:shd w:val="clear" w:color="auto" w:fill="F3F3F3"/>
          </w:tcPr>
          <w:p w:rsidR="00737D0B" w:rsidRPr="00804994" w:rsidRDefault="00473DB5" w:rsidP="002C6F4B">
            <w:pPr>
              <w:tabs>
                <w:tab w:val="left" w:pos="11250"/>
              </w:tabs>
              <w:rPr>
                <w:rFonts w:ascii="Calibri" w:hAnsi="Calibri"/>
              </w:rPr>
            </w:pPr>
            <w:r w:rsidRPr="00473DB5">
              <w:rPr>
                <w:rFonts w:ascii="Calibri" w:hAnsi="Calibri"/>
                <w:color w:val="FF0000"/>
              </w:rPr>
              <w:t>Doing at t</w:t>
            </w:r>
            <w:r w:rsidR="00AA6AA0" w:rsidRPr="00473DB5">
              <w:rPr>
                <w:rFonts w:ascii="Calibri" w:hAnsi="Calibri"/>
                <w:color w:val="FF0000"/>
              </w:rPr>
              <w:t>ertiary level:</w:t>
            </w:r>
            <w:r w:rsidR="00AA6AA0">
              <w:rPr>
                <w:rFonts w:ascii="Calibri" w:hAnsi="Calibri"/>
              </w:rPr>
              <w:t xml:space="preserve"> </w:t>
            </w:r>
            <w:r w:rsidR="002C6F4B" w:rsidRPr="002C6F4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2C6F4B" w:rsidRPr="002C6F4B">
              <w:rPr>
                <w:rFonts w:ascii="Calibri" w:hAnsi="Calibri"/>
              </w:rPr>
              <w:instrText xml:space="preserve"> FORMTEXT </w:instrText>
            </w:r>
            <w:r w:rsidR="002C6F4B" w:rsidRPr="002C6F4B">
              <w:rPr>
                <w:rFonts w:ascii="Calibri" w:hAnsi="Calibri"/>
              </w:rPr>
            </w:r>
            <w:r w:rsidR="002C6F4B" w:rsidRPr="002C6F4B">
              <w:rPr>
                <w:rFonts w:ascii="Calibri" w:hAnsi="Calibri"/>
              </w:rPr>
              <w:fldChar w:fldCharType="separate"/>
            </w:r>
            <w:bookmarkStart w:id="1" w:name="_GoBack"/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bookmarkEnd w:id="1"/>
            <w:r w:rsidR="002C6F4B" w:rsidRPr="002C6F4B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4632" w:type="dxa"/>
            <w:shd w:val="clear" w:color="auto" w:fill="auto"/>
          </w:tcPr>
          <w:p w:rsidR="00737D0B" w:rsidRPr="008C6C00" w:rsidRDefault="00737D0B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  <w:p w:rsidR="00737D0B" w:rsidRPr="008C6C00" w:rsidRDefault="00737D0B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  <w:p w:rsidR="00737D0B" w:rsidRPr="008C6C00" w:rsidRDefault="00737D0B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  <w:p w:rsidR="00737D0B" w:rsidRPr="008C6C00" w:rsidRDefault="00737D0B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  <w:p w:rsidR="00737D0B" w:rsidRDefault="00737D0B" w:rsidP="00801165">
            <w:pPr>
              <w:rPr>
                <w:rFonts w:ascii="Calibri" w:hAnsi="Calibri"/>
                <w:b/>
                <w:color w:val="FF0000"/>
              </w:rPr>
            </w:pPr>
          </w:p>
          <w:p w:rsidR="00801165" w:rsidRPr="008C6C00" w:rsidRDefault="00801165" w:rsidP="00801165">
            <w:pPr>
              <w:rPr>
                <w:rFonts w:ascii="Calibri" w:hAnsi="Calibri"/>
                <w:b/>
                <w:color w:val="FF0000"/>
              </w:rPr>
            </w:pPr>
          </w:p>
          <w:p w:rsidR="00737D0B" w:rsidRPr="008C6C00" w:rsidRDefault="00737D0B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  <w:p w:rsidR="00473DB5" w:rsidRDefault="00737D0B" w:rsidP="008C6C00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8C6C00">
              <w:rPr>
                <w:rFonts w:ascii="Calibri" w:hAnsi="Calibri"/>
                <w:b/>
                <w:color w:val="FF0000"/>
              </w:rPr>
              <w:t xml:space="preserve">Tertiary </w:t>
            </w:r>
          </w:p>
          <w:p w:rsidR="00473DB5" w:rsidRDefault="00737D0B" w:rsidP="00473DB5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8C6C00">
              <w:rPr>
                <w:rFonts w:ascii="Calibri" w:hAnsi="Calibri"/>
                <w:b/>
                <w:color w:val="FF0000"/>
              </w:rPr>
              <w:t>Level</w:t>
            </w:r>
            <w:r w:rsidR="00473DB5">
              <w:rPr>
                <w:rFonts w:ascii="Calibri" w:hAnsi="Calibri"/>
                <w:b/>
                <w:color w:val="FF0000"/>
              </w:rPr>
              <w:t xml:space="preserve"> </w:t>
            </w:r>
            <w:r w:rsidRPr="008C6C00">
              <w:rPr>
                <w:rFonts w:ascii="Calibri" w:hAnsi="Calibri"/>
                <w:b/>
                <w:color w:val="FF0000"/>
              </w:rPr>
              <w:t xml:space="preserve">of </w:t>
            </w:r>
          </w:p>
          <w:p w:rsidR="00737D0B" w:rsidRPr="00473DB5" w:rsidRDefault="00737D0B" w:rsidP="00473DB5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8C6C00">
              <w:rPr>
                <w:rFonts w:ascii="Calibri" w:hAnsi="Calibri"/>
                <w:b/>
                <w:color w:val="FF0000"/>
              </w:rPr>
              <w:t>Intervention</w:t>
            </w:r>
          </w:p>
          <w:p w:rsidR="00737D0B" w:rsidRDefault="00737D0B" w:rsidP="008C6C00">
            <w:pPr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</w:p>
          <w:p w:rsidR="00473DB5" w:rsidRDefault="00473DB5" w:rsidP="008C6C00">
            <w:pPr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</w:p>
          <w:p w:rsidR="00473DB5" w:rsidRDefault="00473DB5" w:rsidP="008C6C00">
            <w:pPr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</w:p>
          <w:p w:rsidR="00473DB5" w:rsidRDefault="00473DB5" w:rsidP="008C6C00">
            <w:pPr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</w:p>
          <w:p w:rsidR="00473DB5" w:rsidRPr="008C6C00" w:rsidRDefault="00473DB5" w:rsidP="008C6C00">
            <w:pPr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</w:p>
        </w:tc>
        <w:tc>
          <w:tcPr>
            <w:tcW w:w="4632" w:type="dxa"/>
            <w:shd w:val="clear" w:color="auto" w:fill="F3F3F3"/>
          </w:tcPr>
          <w:p w:rsidR="00737D0B" w:rsidRPr="00804994" w:rsidRDefault="00473DB5" w:rsidP="002C6F4B">
            <w:pPr>
              <w:tabs>
                <w:tab w:val="left" w:pos="11250"/>
              </w:tabs>
              <w:rPr>
                <w:rFonts w:ascii="Calibri" w:hAnsi="Calibri"/>
              </w:rPr>
            </w:pPr>
            <w:r w:rsidRPr="00473DB5">
              <w:rPr>
                <w:rFonts w:ascii="Calibri" w:hAnsi="Calibri"/>
                <w:color w:val="FF0000"/>
              </w:rPr>
              <w:t>Want to do at t</w:t>
            </w:r>
            <w:r w:rsidR="00AA6AA0" w:rsidRPr="00473DB5">
              <w:rPr>
                <w:rFonts w:ascii="Calibri" w:hAnsi="Calibri"/>
                <w:color w:val="FF0000"/>
              </w:rPr>
              <w:t>ertiary level:</w:t>
            </w:r>
            <w:r w:rsidR="00AA6AA0">
              <w:rPr>
                <w:rFonts w:ascii="Calibri" w:hAnsi="Calibri"/>
              </w:rPr>
              <w:t xml:space="preserve"> </w:t>
            </w:r>
            <w:r w:rsidR="002C6F4B" w:rsidRPr="002C6F4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6F4B" w:rsidRPr="002C6F4B">
              <w:rPr>
                <w:rFonts w:ascii="Calibri" w:hAnsi="Calibri"/>
              </w:rPr>
              <w:instrText xml:space="preserve"> FORMTEXT </w:instrText>
            </w:r>
            <w:r w:rsidR="002C6F4B" w:rsidRPr="002C6F4B">
              <w:rPr>
                <w:rFonts w:ascii="Calibri" w:hAnsi="Calibri"/>
              </w:rPr>
            </w:r>
            <w:r w:rsidR="002C6F4B" w:rsidRPr="002C6F4B">
              <w:rPr>
                <w:rFonts w:ascii="Calibri" w:hAnsi="Calibri"/>
              </w:rPr>
              <w:fldChar w:fldCharType="separate"/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2C6F4B" w:rsidRPr="002C6F4B">
              <w:rPr>
                <w:rFonts w:ascii="Calibri" w:hAnsi="Calibri"/>
              </w:rPr>
              <w:fldChar w:fldCharType="end"/>
            </w:r>
          </w:p>
        </w:tc>
      </w:tr>
      <w:tr w:rsidR="00801165" w:rsidRPr="008C6C00" w:rsidTr="00473DB5">
        <w:tc>
          <w:tcPr>
            <w:tcW w:w="4632" w:type="dxa"/>
            <w:shd w:val="clear" w:color="auto" w:fill="F3F3F3"/>
          </w:tcPr>
          <w:p w:rsidR="00801165" w:rsidRPr="00473DB5" w:rsidRDefault="00473DB5" w:rsidP="002C6F4B">
            <w:pPr>
              <w:tabs>
                <w:tab w:val="left" w:pos="11250"/>
              </w:tabs>
              <w:rPr>
                <w:rFonts w:ascii="Calibri" w:hAnsi="Calibri"/>
                <w:noProof/>
                <w:color w:val="008000"/>
              </w:rPr>
            </w:pPr>
            <w:r w:rsidRPr="00A67032">
              <w:rPr>
                <w:rFonts w:ascii="Calibri" w:hAnsi="Calibri"/>
                <w:noProof/>
                <w:color w:val="E36C0A"/>
              </w:rPr>
              <w:t>Doing at t</w:t>
            </w:r>
            <w:r w:rsidR="00AA6AA0" w:rsidRPr="00A67032">
              <w:rPr>
                <w:rFonts w:ascii="Calibri" w:hAnsi="Calibri"/>
                <w:noProof/>
                <w:color w:val="E36C0A"/>
              </w:rPr>
              <w:t>argeted level:</w:t>
            </w:r>
            <w:r w:rsidR="00AA6AA0" w:rsidRPr="00473DB5">
              <w:rPr>
                <w:rFonts w:ascii="Calibri" w:hAnsi="Calibri"/>
                <w:noProof/>
                <w:color w:val="008000"/>
              </w:rPr>
              <w:t xml:space="preserve"> </w:t>
            </w:r>
            <w:r w:rsidR="002C6F4B" w:rsidRPr="002C6F4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6F4B" w:rsidRPr="002C6F4B">
              <w:rPr>
                <w:rFonts w:ascii="Calibri" w:hAnsi="Calibri"/>
              </w:rPr>
              <w:instrText xml:space="preserve"> FORMTEXT </w:instrText>
            </w:r>
            <w:r w:rsidR="002C6F4B" w:rsidRPr="002C6F4B">
              <w:rPr>
                <w:rFonts w:ascii="Calibri" w:hAnsi="Calibri"/>
              </w:rPr>
            </w:r>
            <w:r w:rsidR="002C6F4B" w:rsidRPr="002C6F4B">
              <w:rPr>
                <w:rFonts w:ascii="Calibri" w:hAnsi="Calibri"/>
              </w:rPr>
              <w:fldChar w:fldCharType="separate"/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2C6F4B" w:rsidRPr="002C6F4B">
              <w:rPr>
                <w:rFonts w:ascii="Calibri" w:hAnsi="Calibri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473DB5" w:rsidRDefault="00801165" w:rsidP="00473DB5">
            <w:pPr>
              <w:jc w:val="center"/>
              <w:rPr>
                <w:rFonts w:ascii="Calibri" w:hAnsi="Calibri"/>
                <w:b/>
                <w:color w:val="FF9900"/>
              </w:rPr>
            </w:pPr>
            <w:r w:rsidRPr="008C6C00">
              <w:rPr>
                <w:rFonts w:ascii="Calibri" w:hAnsi="Calibri"/>
                <w:b/>
                <w:color w:val="FF9900"/>
              </w:rPr>
              <w:t>Targeted Level</w:t>
            </w:r>
          </w:p>
          <w:p w:rsidR="00801165" w:rsidRDefault="00801165" w:rsidP="00801165">
            <w:pPr>
              <w:jc w:val="center"/>
              <w:rPr>
                <w:rFonts w:ascii="Calibri" w:hAnsi="Calibri"/>
                <w:b/>
                <w:color w:val="FF9900"/>
              </w:rPr>
            </w:pPr>
            <w:r w:rsidRPr="008C6C00">
              <w:rPr>
                <w:rFonts w:ascii="Calibri" w:hAnsi="Calibri"/>
                <w:b/>
                <w:color w:val="FF9900"/>
              </w:rPr>
              <w:t>of Intervention</w:t>
            </w:r>
          </w:p>
          <w:p w:rsidR="00801165" w:rsidRDefault="00801165" w:rsidP="00801165">
            <w:pPr>
              <w:jc w:val="center"/>
              <w:rPr>
                <w:rFonts w:ascii="Calibri" w:hAnsi="Calibri"/>
              </w:rPr>
            </w:pPr>
          </w:p>
          <w:p w:rsidR="00473DB5" w:rsidRPr="008C6C00" w:rsidRDefault="00473DB5" w:rsidP="00801165">
            <w:pPr>
              <w:jc w:val="center"/>
              <w:rPr>
                <w:rFonts w:ascii="Calibri" w:hAnsi="Calibri"/>
              </w:rPr>
            </w:pPr>
          </w:p>
          <w:p w:rsidR="00801165" w:rsidRDefault="00801165" w:rsidP="00801165">
            <w:pPr>
              <w:rPr>
                <w:rFonts w:ascii="Calibri" w:hAnsi="Calibri"/>
                <w:b/>
                <w:color w:val="FF0000"/>
              </w:rPr>
            </w:pPr>
          </w:p>
          <w:p w:rsidR="00473DB5" w:rsidRDefault="00473DB5" w:rsidP="00801165">
            <w:pPr>
              <w:rPr>
                <w:rFonts w:ascii="Calibri" w:hAnsi="Calibri"/>
                <w:b/>
                <w:color w:val="FF0000"/>
              </w:rPr>
            </w:pPr>
          </w:p>
          <w:p w:rsidR="00801165" w:rsidRDefault="00801165" w:rsidP="00801165">
            <w:pPr>
              <w:rPr>
                <w:rFonts w:ascii="Calibri" w:hAnsi="Calibri"/>
                <w:b/>
                <w:color w:val="FF0000"/>
              </w:rPr>
            </w:pPr>
          </w:p>
          <w:p w:rsidR="00473DB5" w:rsidRPr="008C6C00" w:rsidRDefault="00473DB5" w:rsidP="00801165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32" w:type="dxa"/>
            <w:shd w:val="clear" w:color="auto" w:fill="F3F3F3"/>
          </w:tcPr>
          <w:p w:rsidR="00801165" w:rsidRPr="00AA6AA0" w:rsidRDefault="00473DB5" w:rsidP="002C6F4B">
            <w:pPr>
              <w:tabs>
                <w:tab w:val="left" w:pos="11250"/>
              </w:tabs>
              <w:rPr>
                <w:rFonts w:ascii="Calibri" w:hAnsi="Calibri"/>
              </w:rPr>
            </w:pPr>
            <w:r w:rsidRPr="00A67032">
              <w:rPr>
                <w:rFonts w:ascii="Calibri" w:hAnsi="Calibri"/>
                <w:noProof/>
                <w:color w:val="E36C0A"/>
              </w:rPr>
              <w:t>Want to do at t</w:t>
            </w:r>
            <w:r w:rsidR="00AA6AA0" w:rsidRPr="00A67032">
              <w:rPr>
                <w:rFonts w:ascii="Calibri" w:hAnsi="Calibri"/>
                <w:noProof/>
                <w:color w:val="E36C0A"/>
              </w:rPr>
              <w:t>argeted level:</w:t>
            </w:r>
            <w:r w:rsidR="00AA6AA0" w:rsidRPr="00AA6AA0">
              <w:rPr>
                <w:rFonts w:ascii="Calibri" w:hAnsi="Calibri"/>
                <w:noProof/>
              </w:rPr>
              <w:t xml:space="preserve"> </w:t>
            </w:r>
            <w:r w:rsidR="002C6F4B" w:rsidRPr="002C6F4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6F4B" w:rsidRPr="002C6F4B">
              <w:rPr>
                <w:rFonts w:ascii="Calibri" w:hAnsi="Calibri"/>
              </w:rPr>
              <w:instrText xml:space="preserve"> FORMTEXT </w:instrText>
            </w:r>
            <w:r w:rsidR="002C6F4B" w:rsidRPr="002C6F4B">
              <w:rPr>
                <w:rFonts w:ascii="Calibri" w:hAnsi="Calibri"/>
              </w:rPr>
            </w:r>
            <w:r w:rsidR="002C6F4B" w:rsidRPr="002C6F4B">
              <w:rPr>
                <w:rFonts w:ascii="Calibri" w:hAnsi="Calibri"/>
              </w:rPr>
              <w:fldChar w:fldCharType="separate"/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2C6F4B" w:rsidRPr="002C6F4B">
              <w:rPr>
                <w:rFonts w:ascii="Calibri" w:hAnsi="Calibri"/>
              </w:rPr>
              <w:fldChar w:fldCharType="end"/>
            </w:r>
          </w:p>
        </w:tc>
      </w:tr>
      <w:tr w:rsidR="00801165" w:rsidRPr="008C6C00" w:rsidTr="00473DB5">
        <w:tc>
          <w:tcPr>
            <w:tcW w:w="4632" w:type="dxa"/>
            <w:shd w:val="clear" w:color="auto" w:fill="F3F3F3"/>
          </w:tcPr>
          <w:p w:rsidR="00801165" w:rsidRPr="00473DB5" w:rsidRDefault="00473DB5" w:rsidP="002C6F4B">
            <w:pPr>
              <w:tabs>
                <w:tab w:val="left" w:pos="11250"/>
              </w:tabs>
              <w:rPr>
                <w:rFonts w:ascii="Calibri" w:hAnsi="Calibri"/>
                <w:noProof/>
                <w:color w:val="008000"/>
              </w:rPr>
            </w:pPr>
            <w:r w:rsidRPr="00473DB5">
              <w:rPr>
                <w:rFonts w:ascii="Calibri" w:hAnsi="Calibri"/>
                <w:noProof/>
                <w:color w:val="008000"/>
              </w:rPr>
              <w:t>Doing at u</w:t>
            </w:r>
            <w:r w:rsidR="00AA6AA0" w:rsidRPr="00473DB5">
              <w:rPr>
                <w:rFonts w:ascii="Calibri" w:hAnsi="Calibri"/>
                <w:noProof/>
                <w:color w:val="008000"/>
              </w:rPr>
              <w:t xml:space="preserve">niversal level: </w:t>
            </w:r>
            <w:r w:rsidR="002C6F4B" w:rsidRPr="002C6F4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6F4B" w:rsidRPr="002C6F4B">
              <w:rPr>
                <w:rFonts w:ascii="Calibri" w:hAnsi="Calibri"/>
              </w:rPr>
              <w:instrText xml:space="preserve"> FORMTEXT </w:instrText>
            </w:r>
            <w:r w:rsidR="002C6F4B" w:rsidRPr="002C6F4B">
              <w:rPr>
                <w:rFonts w:ascii="Calibri" w:hAnsi="Calibri"/>
              </w:rPr>
            </w:r>
            <w:r w:rsidR="002C6F4B" w:rsidRPr="002C6F4B">
              <w:rPr>
                <w:rFonts w:ascii="Calibri" w:hAnsi="Calibri"/>
              </w:rPr>
              <w:fldChar w:fldCharType="separate"/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2C6F4B" w:rsidRPr="002C6F4B">
              <w:rPr>
                <w:rFonts w:ascii="Calibri" w:hAnsi="Calibri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473DB5" w:rsidRDefault="00801165" w:rsidP="00473DB5">
            <w:pPr>
              <w:jc w:val="center"/>
              <w:rPr>
                <w:rFonts w:ascii="Calibri" w:hAnsi="Calibri"/>
                <w:b/>
                <w:color w:val="008000"/>
              </w:rPr>
            </w:pPr>
            <w:r w:rsidRPr="008C6C00">
              <w:rPr>
                <w:rFonts w:ascii="Calibri" w:hAnsi="Calibri"/>
                <w:b/>
                <w:color w:val="008000"/>
              </w:rPr>
              <w:t>Universal Level</w:t>
            </w:r>
          </w:p>
          <w:p w:rsidR="00801165" w:rsidRPr="008C6C00" w:rsidRDefault="00801165" w:rsidP="00801165">
            <w:pPr>
              <w:jc w:val="center"/>
              <w:rPr>
                <w:rFonts w:ascii="Calibri" w:hAnsi="Calibri"/>
                <w:b/>
                <w:color w:val="008000"/>
              </w:rPr>
            </w:pPr>
            <w:r w:rsidRPr="008C6C00">
              <w:rPr>
                <w:rFonts w:ascii="Calibri" w:hAnsi="Calibri"/>
                <w:b/>
                <w:color w:val="008000"/>
              </w:rPr>
              <w:t>of Intervention</w:t>
            </w:r>
          </w:p>
          <w:p w:rsidR="00801165" w:rsidRDefault="00801165" w:rsidP="00801165">
            <w:pPr>
              <w:rPr>
                <w:rFonts w:ascii="Calibri" w:hAnsi="Calibri"/>
              </w:rPr>
            </w:pPr>
          </w:p>
          <w:p w:rsidR="00473DB5" w:rsidRDefault="00473DB5" w:rsidP="00801165">
            <w:pPr>
              <w:rPr>
                <w:rFonts w:ascii="Calibri" w:hAnsi="Calibri"/>
              </w:rPr>
            </w:pPr>
          </w:p>
          <w:p w:rsidR="00473DB5" w:rsidRDefault="00473DB5" w:rsidP="00801165">
            <w:pPr>
              <w:rPr>
                <w:rFonts w:ascii="Calibri" w:hAnsi="Calibri"/>
              </w:rPr>
            </w:pPr>
          </w:p>
          <w:p w:rsidR="00801165" w:rsidRPr="008C6C00" w:rsidRDefault="00801165" w:rsidP="00801165">
            <w:pPr>
              <w:rPr>
                <w:rFonts w:ascii="Calibri" w:hAnsi="Calibri"/>
              </w:rPr>
            </w:pPr>
          </w:p>
        </w:tc>
        <w:tc>
          <w:tcPr>
            <w:tcW w:w="4632" w:type="dxa"/>
            <w:shd w:val="clear" w:color="auto" w:fill="F3F3F3"/>
          </w:tcPr>
          <w:p w:rsidR="00801165" w:rsidRPr="00804994" w:rsidRDefault="00473DB5" w:rsidP="002C6F4B">
            <w:pPr>
              <w:tabs>
                <w:tab w:val="left" w:pos="11250"/>
              </w:tabs>
              <w:rPr>
                <w:rFonts w:ascii="Calibri" w:hAnsi="Calibri"/>
              </w:rPr>
            </w:pPr>
            <w:r w:rsidRPr="00473DB5">
              <w:rPr>
                <w:rFonts w:ascii="Calibri" w:hAnsi="Calibri"/>
                <w:noProof/>
                <w:color w:val="008000"/>
              </w:rPr>
              <w:t>Want to do at u</w:t>
            </w:r>
            <w:r w:rsidR="00AA6AA0" w:rsidRPr="00473DB5">
              <w:rPr>
                <w:rFonts w:ascii="Calibri" w:hAnsi="Calibri"/>
                <w:noProof/>
                <w:color w:val="008000"/>
              </w:rPr>
              <w:t>niversal level:</w:t>
            </w:r>
            <w:r w:rsidR="00AA6AA0" w:rsidRPr="00AA6AA0">
              <w:rPr>
                <w:rFonts w:ascii="Calibri" w:hAnsi="Calibri"/>
                <w:noProof/>
              </w:rPr>
              <w:t xml:space="preserve"> </w:t>
            </w:r>
            <w:r w:rsidR="002C6F4B" w:rsidRPr="002C6F4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6F4B" w:rsidRPr="002C6F4B">
              <w:rPr>
                <w:rFonts w:ascii="Calibri" w:hAnsi="Calibri"/>
              </w:rPr>
              <w:instrText xml:space="preserve"> FORMTEXT </w:instrText>
            </w:r>
            <w:r w:rsidR="002C6F4B" w:rsidRPr="002C6F4B">
              <w:rPr>
                <w:rFonts w:ascii="Calibri" w:hAnsi="Calibri"/>
              </w:rPr>
            </w:r>
            <w:r w:rsidR="002C6F4B" w:rsidRPr="002C6F4B">
              <w:rPr>
                <w:rFonts w:ascii="Calibri" w:hAnsi="Calibri"/>
              </w:rPr>
              <w:fldChar w:fldCharType="separate"/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4D40E4">
              <w:rPr>
                <w:rFonts w:ascii="Calibri" w:hAnsi="Calibri"/>
                <w:noProof/>
              </w:rPr>
              <w:t> </w:t>
            </w:r>
            <w:r w:rsidR="002C6F4B" w:rsidRPr="002C6F4B">
              <w:rPr>
                <w:rFonts w:ascii="Calibri" w:hAnsi="Calibri"/>
              </w:rPr>
              <w:fldChar w:fldCharType="end"/>
            </w:r>
          </w:p>
        </w:tc>
      </w:tr>
    </w:tbl>
    <w:p w:rsidR="007634EE" w:rsidRPr="003B1269" w:rsidRDefault="00801165" w:rsidP="00737D0B">
      <w:pPr>
        <w:rPr>
          <w:rFonts w:ascii="Calibri" w:hAnsi="Calibri"/>
          <w:b/>
          <w:color w:val="4472C4"/>
          <w:sz w:val="32"/>
          <w:szCs w:val="32"/>
        </w:rPr>
      </w:pPr>
      <w:r>
        <w:rPr>
          <w:rFonts w:ascii="Calibri" w:hAnsi="Calibri"/>
          <w:b/>
          <w:color w:val="800000"/>
          <w:sz w:val="32"/>
          <w:szCs w:val="32"/>
        </w:rPr>
        <w:br w:type="page"/>
      </w:r>
      <w:r w:rsidR="00201B86" w:rsidRPr="003B1269">
        <w:rPr>
          <w:rFonts w:ascii="Calibri" w:hAnsi="Calibri"/>
          <w:b/>
          <w:color w:val="4472C4"/>
          <w:sz w:val="32"/>
          <w:szCs w:val="32"/>
        </w:rPr>
        <w:lastRenderedPageBreak/>
        <w:t>Prevention and Intervention Supports</w:t>
      </w:r>
    </w:p>
    <w:p w:rsidR="00ED7CFE" w:rsidRPr="00ED7CFE" w:rsidRDefault="00ED7CFE" w:rsidP="00ED7CFE">
      <w:pPr>
        <w:jc w:val="center"/>
        <w:rPr>
          <w:rFonts w:ascii="Calibri" w:hAnsi="Calibri"/>
          <w:b/>
          <w:color w:val="800000"/>
          <w:sz w:val="32"/>
          <w:szCs w:val="32"/>
        </w:rPr>
      </w:pPr>
    </w:p>
    <w:p w:rsidR="00EF1013" w:rsidRPr="00ED7CFE" w:rsidRDefault="00EF1013" w:rsidP="007634EE">
      <w:pPr>
        <w:jc w:val="center"/>
        <w:rPr>
          <w:rFonts w:ascii="Calibri" w:hAnsi="Calibri"/>
          <w:b/>
          <w:u w:val="single"/>
        </w:rPr>
      </w:pPr>
    </w:p>
    <w:p w:rsidR="00ED7CFE" w:rsidRDefault="00ED7CFE" w:rsidP="007634EE">
      <w:pPr>
        <w:rPr>
          <w:rFonts w:ascii="Calibri" w:hAnsi="Calibri"/>
          <w:b/>
          <w:color w:val="800000"/>
        </w:rPr>
        <w:sectPr w:rsidR="00ED7CFE" w:rsidSect="00F959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ED7CFE" w:rsidRPr="003B1269" w:rsidRDefault="007634EE" w:rsidP="00ED7CFE">
      <w:pPr>
        <w:rPr>
          <w:rFonts w:ascii="Calibri" w:hAnsi="Calibri"/>
          <w:b/>
          <w:color w:val="4472C4"/>
        </w:rPr>
      </w:pPr>
      <w:r w:rsidRPr="003B1269">
        <w:rPr>
          <w:rFonts w:ascii="Calibri" w:hAnsi="Calibri"/>
          <w:b/>
          <w:color w:val="4472C4"/>
        </w:rPr>
        <w:t>Universal Level of Intervention</w:t>
      </w:r>
    </w:p>
    <w:p w:rsidR="00353DCA" w:rsidRDefault="007634EE" w:rsidP="00ED7CFE">
      <w:pPr>
        <w:rPr>
          <w:rFonts w:ascii="Calibri" w:hAnsi="Calibri"/>
        </w:rPr>
      </w:pPr>
      <w:r w:rsidRPr="00ED7CFE">
        <w:rPr>
          <w:rFonts w:ascii="Calibri" w:hAnsi="Calibri"/>
        </w:rPr>
        <w:t xml:space="preserve">This primary prevention approach incorporates interventions that are implemented with </w:t>
      </w:r>
      <w:r w:rsidRPr="00ED7CFE">
        <w:rPr>
          <w:rFonts w:ascii="Calibri" w:hAnsi="Calibri"/>
          <w:b/>
          <w:i/>
        </w:rPr>
        <w:t>all</w:t>
      </w:r>
      <w:r w:rsidRPr="00ED7CFE">
        <w:rPr>
          <w:rFonts w:ascii="Calibri" w:hAnsi="Calibri"/>
          <w:i/>
        </w:rPr>
        <w:t xml:space="preserve"> </w:t>
      </w:r>
      <w:r w:rsidRPr="00ED7CFE">
        <w:rPr>
          <w:rFonts w:ascii="Calibri" w:hAnsi="Calibri"/>
        </w:rPr>
        <w:t>students regardless of the presence of risk factors.</w:t>
      </w:r>
      <w:r w:rsidR="000B55A0" w:rsidRPr="00ED7CFE">
        <w:rPr>
          <w:rFonts w:ascii="Calibri" w:hAnsi="Calibri"/>
        </w:rPr>
        <w:t xml:space="preserve"> </w:t>
      </w:r>
      <w:r w:rsidRPr="00ED7CFE">
        <w:rPr>
          <w:rFonts w:ascii="Calibri" w:hAnsi="Calibri"/>
        </w:rPr>
        <w:t>The cost per student is typically lower than for interventions delivered at the targeted or tertiary levels.</w:t>
      </w:r>
      <w:r w:rsidR="000B55A0" w:rsidRPr="00ED7CFE">
        <w:rPr>
          <w:rFonts w:ascii="Calibri" w:hAnsi="Calibri"/>
        </w:rPr>
        <w:t xml:space="preserve"> </w:t>
      </w:r>
      <w:r w:rsidRPr="00ED7CFE">
        <w:rPr>
          <w:rFonts w:ascii="Calibri" w:hAnsi="Calibri"/>
        </w:rPr>
        <w:t xml:space="preserve">Specific examples include: </w:t>
      </w:r>
    </w:p>
    <w:p w:rsidR="00353DCA" w:rsidRDefault="007634EE" w:rsidP="00353DCA">
      <w:pPr>
        <w:numPr>
          <w:ilvl w:val="0"/>
          <w:numId w:val="2"/>
        </w:numPr>
        <w:rPr>
          <w:rFonts w:ascii="Calibri" w:hAnsi="Calibri"/>
        </w:rPr>
      </w:pPr>
      <w:r w:rsidRPr="00ED7CFE">
        <w:rPr>
          <w:rFonts w:ascii="Calibri" w:hAnsi="Calibri"/>
        </w:rPr>
        <w:t xml:space="preserve">student advisory programs that monitor academic and social development of middle or high school students, </w:t>
      </w:r>
    </w:p>
    <w:p w:rsidR="00353DCA" w:rsidRDefault="007634EE" w:rsidP="00353DCA">
      <w:pPr>
        <w:numPr>
          <w:ilvl w:val="0"/>
          <w:numId w:val="2"/>
        </w:numPr>
        <w:rPr>
          <w:rFonts w:ascii="Calibri" w:hAnsi="Calibri"/>
        </w:rPr>
      </w:pPr>
      <w:r w:rsidRPr="00ED7CFE">
        <w:rPr>
          <w:rFonts w:ascii="Calibri" w:hAnsi="Calibri"/>
        </w:rPr>
        <w:t>deliberate outreach efforts to involve students in extracurricular activ</w:t>
      </w:r>
      <w:r w:rsidR="00353DCA">
        <w:rPr>
          <w:rFonts w:ascii="Calibri" w:hAnsi="Calibri"/>
        </w:rPr>
        <w:t>ities, and</w:t>
      </w:r>
    </w:p>
    <w:p w:rsidR="00353DCA" w:rsidRDefault="000B55A0" w:rsidP="00353DCA">
      <w:pPr>
        <w:numPr>
          <w:ilvl w:val="0"/>
          <w:numId w:val="2"/>
        </w:numPr>
        <w:rPr>
          <w:rFonts w:ascii="Calibri" w:hAnsi="Calibri"/>
        </w:rPr>
      </w:pPr>
      <w:r w:rsidRPr="00ED7CFE">
        <w:rPr>
          <w:rFonts w:ascii="Calibri" w:hAnsi="Calibri"/>
        </w:rPr>
        <w:t>systematic school-</w:t>
      </w:r>
      <w:r w:rsidR="007634EE" w:rsidRPr="00ED7CFE">
        <w:rPr>
          <w:rFonts w:ascii="Calibri" w:hAnsi="Calibri"/>
        </w:rPr>
        <w:t>wide positive discipline and behavioral support programs.</w:t>
      </w:r>
      <w:r w:rsidRPr="00ED7CFE">
        <w:rPr>
          <w:rFonts w:ascii="Calibri" w:hAnsi="Calibri"/>
        </w:rPr>
        <w:t xml:space="preserve"> </w:t>
      </w:r>
    </w:p>
    <w:p w:rsidR="00353DCA" w:rsidRDefault="00353DCA" w:rsidP="00353DCA">
      <w:pPr>
        <w:rPr>
          <w:rFonts w:ascii="Calibri" w:hAnsi="Calibri"/>
        </w:rPr>
      </w:pPr>
    </w:p>
    <w:p w:rsidR="007634EE" w:rsidRPr="00ED7CFE" w:rsidRDefault="007634EE" w:rsidP="00353DCA">
      <w:pPr>
        <w:rPr>
          <w:rFonts w:ascii="Calibri" w:hAnsi="Calibri"/>
        </w:rPr>
      </w:pPr>
      <w:r w:rsidRPr="00ED7CFE">
        <w:rPr>
          <w:rFonts w:ascii="Calibri" w:hAnsi="Calibri"/>
        </w:rPr>
        <w:t>Interventions at this level can be used to establish a strong foundation for connecting children and youth to school and learning, and preventing dropout.</w:t>
      </w:r>
    </w:p>
    <w:p w:rsidR="00ED7CFE" w:rsidRPr="003B1269" w:rsidRDefault="00ED7CFE" w:rsidP="00ED7CFE">
      <w:pPr>
        <w:rPr>
          <w:rFonts w:ascii="Calibri" w:hAnsi="Calibri"/>
          <w:b/>
          <w:color w:val="4472C4"/>
        </w:rPr>
      </w:pPr>
      <w:r>
        <w:rPr>
          <w:rFonts w:ascii="Calibri" w:hAnsi="Calibri"/>
          <w:b/>
          <w:color w:val="800000"/>
        </w:rPr>
        <w:br w:type="column"/>
      </w:r>
      <w:r w:rsidR="007634EE" w:rsidRPr="003B1269">
        <w:rPr>
          <w:rFonts w:ascii="Calibri" w:hAnsi="Calibri"/>
          <w:b/>
          <w:color w:val="4472C4"/>
        </w:rPr>
        <w:t>Targeted Level of I</w:t>
      </w:r>
      <w:r w:rsidR="00560D9C" w:rsidRPr="003B1269">
        <w:rPr>
          <w:rFonts w:ascii="Calibri" w:hAnsi="Calibri"/>
          <w:b/>
          <w:color w:val="4472C4"/>
        </w:rPr>
        <w:t>ntervention</w:t>
      </w:r>
    </w:p>
    <w:p w:rsidR="00ED7CFE" w:rsidRPr="00ED7CFE" w:rsidRDefault="00560D9C" w:rsidP="00ED7CFE">
      <w:pPr>
        <w:rPr>
          <w:rFonts w:ascii="Calibri" w:hAnsi="Calibri"/>
        </w:rPr>
      </w:pPr>
      <w:r w:rsidRPr="00ED7CFE">
        <w:rPr>
          <w:rFonts w:ascii="Calibri" w:hAnsi="Calibri"/>
        </w:rPr>
        <w:t xml:space="preserve">An intervention provided at the secondary or selected level provides more intensive supports to </w:t>
      </w:r>
      <w:r w:rsidRPr="00ED7CFE">
        <w:rPr>
          <w:rFonts w:ascii="Calibri" w:hAnsi="Calibri"/>
          <w:b/>
          <w:i/>
        </w:rPr>
        <w:t>some</w:t>
      </w:r>
      <w:r w:rsidRPr="00ED7CFE">
        <w:rPr>
          <w:rFonts w:ascii="Calibri" w:hAnsi="Calibri"/>
        </w:rPr>
        <w:t xml:space="preserve"> students who have been identified as being at risk of dropping out of school.</w:t>
      </w:r>
      <w:r w:rsidR="000B55A0" w:rsidRPr="00ED7CFE">
        <w:rPr>
          <w:rFonts w:ascii="Calibri" w:hAnsi="Calibri"/>
        </w:rPr>
        <w:t xml:space="preserve"> </w:t>
      </w:r>
      <w:r w:rsidRPr="00ED7CFE">
        <w:rPr>
          <w:rFonts w:ascii="Calibri" w:hAnsi="Calibri"/>
        </w:rPr>
        <w:t>The process of disengaging from school may have begun</w:t>
      </w:r>
      <w:r w:rsidR="00353DCA">
        <w:rPr>
          <w:rFonts w:ascii="Calibri" w:hAnsi="Calibri"/>
        </w:rPr>
        <w:t>,</w:t>
      </w:r>
      <w:r w:rsidRPr="00ED7CFE">
        <w:rPr>
          <w:rFonts w:ascii="Calibri" w:hAnsi="Calibri"/>
        </w:rPr>
        <w:t xml:space="preserve"> as evidenced by low or failing grades, poor attendance, or suspensions</w:t>
      </w:r>
      <w:r w:rsidR="009E2DAB" w:rsidRPr="00ED7CFE">
        <w:rPr>
          <w:rFonts w:ascii="Calibri" w:hAnsi="Calibri"/>
        </w:rPr>
        <w:t>.</w:t>
      </w:r>
      <w:r w:rsidR="000B55A0" w:rsidRPr="00ED7CFE">
        <w:rPr>
          <w:rFonts w:ascii="Calibri" w:hAnsi="Calibri"/>
        </w:rPr>
        <w:t xml:space="preserve"> </w:t>
      </w:r>
      <w:r w:rsidR="009E2DAB" w:rsidRPr="00ED7CFE">
        <w:rPr>
          <w:rFonts w:ascii="Calibri" w:hAnsi="Calibri"/>
        </w:rPr>
        <w:t>Approaches may be implemented with sma</w:t>
      </w:r>
      <w:r w:rsidR="00353DCA">
        <w:rPr>
          <w:rFonts w:ascii="Calibri" w:hAnsi="Calibri"/>
        </w:rPr>
        <w:t>ll groups and may include skill-</w:t>
      </w:r>
      <w:r w:rsidR="009E2DAB" w:rsidRPr="00ED7CFE">
        <w:rPr>
          <w:rFonts w:ascii="Calibri" w:hAnsi="Calibri"/>
        </w:rPr>
        <w:t xml:space="preserve">building </w:t>
      </w:r>
      <w:r w:rsidR="00353DCA">
        <w:rPr>
          <w:rFonts w:ascii="Calibri" w:hAnsi="Calibri"/>
        </w:rPr>
        <w:t xml:space="preserve">(e.g., </w:t>
      </w:r>
      <w:r w:rsidR="009E2DAB" w:rsidRPr="00ED7CFE">
        <w:rPr>
          <w:rFonts w:ascii="Calibri" w:hAnsi="Calibri"/>
        </w:rPr>
        <w:t>focused on conflict resolution, academic tutoring, or social skills</w:t>
      </w:r>
      <w:r w:rsidR="00353DCA">
        <w:rPr>
          <w:rFonts w:ascii="Calibri" w:hAnsi="Calibri"/>
        </w:rPr>
        <w:t xml:space="preserve">) </w:t>
      </w:r>
      <w:r w:rsidR="009E2DAB" w:rsidRPr="00ED7CFE">
        <w:rPr>
          <w:rFonts w:ascii="Calibri" w:hAnsi="Calibri"/>
        </w:rPr>
        <w:t xml:space="preserve">to address factors associated with increased risk of dropping out. </w:t>
      </w:r>
      <w:r w:rsidR="00ED7CFE">
        <w:rPr>
          <w:rFonts w:ascii="Calibri" w:hAnsi="Calibri"/>
          <w:b/>
          <w:color w:val="800000"/>
        </w:rPr>
        <w:br w:type="column"/>
      </w:r>
      <w:r w:rsidR="009E2DAB" w:rsidRPr="003B1269">
        <w:rPr>
          <w:rFonts w:ascii="Calibri" w:hAnsi="Calibri"/>
          <w:b/>
          <w:color w:val="4472C4"/>
        </w:rPr>
        <w:t>Tertiary Level of Intervention</w:t>
      </w:r>
    </w:p>
    <w:p w:rsidR="00ED7CFE" w:rsidRDefault="009E2DAB">
      <w:pPr>
        <w:rPr>
          <w:rFonts w:ascii="Calibri" w:hAnsi="Calibri"/>
        </w:rPr>
      </w:pPr>
      <w:r w:rsidRPr="00ED7CFE">
        <w:rPr>
          <w:rFonts w:ascii="Calibri" w:hAnsi="Calibri"/>
        </w:rPr>
        <w:t xml:space="preserve">Tertiary prevention incorporates interventions that are considered </w:t>
      </w:r>
      <w:r w:rsidRPr="00ED7CFE">
        <w:rPr>
          <w:rFonts w:ascii="Calibri" w:hAnsi="Calibri"/>
          <w:i/>
        </w:rPr>
        <w:t xml:space="preserve">indicated or targeted </w:t>
      </w:r>
      <w:r w:rsidRPr="00ED7CFE">
        <w:rPr>
          <w:rFonts w:ascii="Calibri" w:hAnsi="Calibri"/>
        </w:rPr>
        <w:t>– that is, the intervention is designed to address the</w:t>
      </w:r>
      <w:r w:rsidR="000B55A0" w:rsidRPr="00ED7CFE">
        <w:rPr>
          <w:rFonts w:ascii="Calibri" w:hAnsi="Calibri"/>
        </w:rPr>
        <w:t xml:space="preserve"> needs of a </w:t>
      </w:r>
      <w:r w:rsidR="000B55A0" w:rsidRPr="00ED7CFE">
        <w:rPr>
          <w:rFonts w:ascii="Calibri" w:hAnsi="Calibri"/>
          <w:b/>
          <w:i/>
        </w:rPr>
        <w:t>small number</w:t>
      </w:r>
      <w:r w:rsidR="000B55A0" w:rsidRPr="00ED7CFE">
        <w:rPr>
          <w:rFonts w:ascii="Calibri" w:hAnsi="Calibri"/>
        </w:rPr>
        <w:t xml:space="preserve"> of</w:t>
      </w:r>
      <w:r w:rsidRPr="00ED7CFE">
        <w:rPr>
          <w:rFonts w:ascii="Calibri" w:hAnsi="Calibri"/>
        </w:rPr>
        <w:t xml:space="preserve"> students who are at high risk and are showing clear signs of leaving school early.</w:t>
      </w:r>
      <w:r w:rsidR="000B55A0" w:rsidRPr="00ED7CFE">
        <w:rPr>
          <w:rFonts w:ascii="Calibri" w:hAnsi="Calibri"/>
        </w:rPr>
        <w:t xml:space="preserve"> </w:t>
      </w:r>
      <w:r w:rsidR="002D03A6">
        <w:rPr>
          <w:rFonts w:ascii="Calibri" w:hAnsi="Calibri"/>
        </w:rPr>
        <w:t>Often</w:t>
      </w:r>
      <w:r w:rsidRPr="00ED7CFE">
        <w:rPr>
          <w:rFonts w:ascii="Calibri" w:hAnsi="Calibri"/>
        </w:rPr>
        <w:t>, these students may be at risk as evidenced by the presence of multiple risk factors.</w:t>
      </w:r>
      <w:r w:rsidR="000B55A0" w:rsidRPr="00ED7CFE">
        <w:rPr>
          <w:rFonts w:ascii="Calibri" w:hAnsi="Calibri"/>
        </w:rPr>
        <w:t xml:space="preserve"> </w:t>
      </w:r>
      <w:r w:rsidRPr="00ED7CFE">
        <w:rPr>
          <w:rFonts w:ascii="Calibri" w:hAnsi="Calibri"/>
        </w:rPr>
        <w:t>Indicated interventions at the tertiary level include approaches designed to remediate established problems.</w:t>
      </w:r>
      <w:r w:rsidR="000B55A0" w:rsidRPr="00ED7CFE">
        <w:rPr>
          <w:rFonts w:ascii="Calibri" w:hAnsi="Calibri"/>
        </w:rPr>
        <w:t xml:space="preserve"> </w:t>
      </w:r>
      <w:r w:rsidR="00D53C97">
        <w:rPr>
          <w:rFonts w:ascii="Calibri" w:hAnsi="Calibri"/>
        </w:rPr>
        <w:t>Thes</w:t>
      </w:r>
      <w:r w:rsidRPr="00ED7CFE">
        <w:rPr>
          <w:rFonts w:ascii="Calibri" w:hAnsi="Calibri"/>
        </w:rPr>
        <w:t>e interventions are typically highly individualized and are usually more costly.</w:t>
      </w:r>
      <w:r w:rsidR="000B55A0" w:rsidRPr="00ED7CFE">
        <w:rPr>
          <w:rFonts w:ascii="Calibri" w:hAnsi="Calibri"/>
        </w:rPr>
        <w:t xml:space="preserve"> </w:t>
      </w:r>
      <w:r w:rsidR="002D03A6">
        <w:rPr>
          <w:rFonts w:ascii="Calibri" w:hAnsi="Calibri"/>
        </w:rPr>
        <w:t>Tertiary a</w:t>
      </w:r>
      <w:r w:rsidRPr="00ED7CFE">
        <w:rPr>
          <w:rFonts w:ascii="Calibri" w:hAnsi="Calibri"/>
        </w:rPr>
        <w:t>pproaches may include wrap-around services, individual functional behavior analysis, individualized behavior management plans, or intensive mentoring programs.</w:t>
      </w:r>
    </w:p>
    <w:p w:rsidR="00083235" w:rsidRDefault="00083235">
      <w:pPr>
        <w:rPr>
          <w:rFonts w:ascii="Calibri" w:hAnsi="Calibri"/>
        </w:rPr>
      </w:pPr>
    </w:p>
    <w:p w:rsidR="00083235" w:rsidRDefault="00083235" w:rsidP="00083235">
      <w:pPr>
        <w:tabs>
          <w:tab w:val="left" w:pos="11250"/>
        </w:tabs>
        <w:rPr>
          <w:rFonts w:ascii="Calibri" w:hAnsi="Calibri"/>
          <w:i/>
          <w:sz w:val="16"/>
          <w:szCs w:val="16"/>
        </w:rPr>
      </w:pPr>
    </w:p>
    <w:p w:rsidR="00083235" w:rsidRDefault="00083235" w:rsidP="00083235">
      <w:pPr>
        <w:tabs>
          <w:tab w:val="left" w:pos="11250"/>
        </w:tabs>
        <w:rPr>
          <w:rFonts w:ascii="Calibri" w:hAnsi="Calibri"/>
          <w:i/>
          <w:sz w:val="16"/>
          <w:szCs w:val="16"/>
        </w:rPr>
      </w:pPr>
    </w:p>
    <w:p w:rsidR="00083235" w:rsidRDefault="00083235" w:rsidP="00083235">
      <w:pPr>
        <w:tabs>
          <w:tab w:val="left" w:pos="11250"/>
        </w:tabs>
        <w:rPr>
          <w:rFonts w:ascii="Calibri" w:hAnsi="Calibri"/>
          <w:i/>
          <w:sz w:val="16"/>
          <w:szCs w:val="16"/>
        </w:rPr>
      </w:pPr>
    </w:p>
    <w:p w:rsidR="00083235" w:rsidRDefault="00083235" w:rsidP="00083235">
      <w:pPr>
        <w:tabs>
          <w:tab w:val="left" w:pos="11250"/>
        </w:tabs>
        <w:rPr>
          <w:rFonts w:ascii="Calibri" w:hAnsi="Calibri"/>
          <w:i/>
          <w:sz w:val="16"/>
          <w:szCs w:val="16"/>
        </w:rPr>
      </w:pPr>
    </w:p>
    <w:p w:rsidR="00083235" w:rsidRPr="00083235" w:rsidRDefault="004D40E4" w:rsidP="00083235">
      <w:pPr>
        <w:tabs>
          <w:tab w:val="left" w:pos="1125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Draw</w:t>
      </w:r>
      <w:r w:rsidR="00083235" w:rsidRPr="00083235">
        <w:rPr>
          <w:rFonts w:ascii="Calibri" w:hAnsi="Calibri"/>
          <w:i/>
          <w:sz w:val="16"/>
          <w:szCs w:val="16"/>
        </w:rPr>
        <w:t>ing on front side from Sprague &amp; Walker, 2000; Martin, Tobin, &amp; Sugai, 2002.</w:t>
      </w:r>
    </w:p>
    <w:p w:rsidR="00083235" w:rsidRPr="00494748" w:rsidRDefault="00083235" w:rsidP="00083235">
      <w:pPr>
        <w:jc w:val="both"/>
        <w:rPr>
          <w:rFonts w:ascii="Calibri" w:hAnsi="Calibri"/>
          <w:i/>
        </w:rPr>
        <w:sectPr w:rsidR="00083235" w:rsidRPr="00494748" w:rsidSect="00ED7CFE">
          <w:type w:val="continuous"/>
          <w:pgSz w:w="15840" w:h="12240" w:orient="landscape"/>
          <w:pgMar w:top="1080" w:right="1080" w:bottom="1080" w:left="1080" w:header="720" w:footer="720" w:gutter="0"/>
          <w:cols w:num="3" w:space="720"/>
          <w:docGrid w:linePitch="360"/>
        </w:sectPr>
      </w:pPr>
    </w:p>
    <w:p w:rsidR="00DA3A8D" w:rsidRPr="00494748" w:rsidRDefault="0024443F">
      <w:pPr>
        <w:rPr>
          <w:rFonts w:ascii="Calibri" w:hAnsi="Calibri"/>
        </w:rPr>
      </w:pPr>
      <w:r w:rsidRPr="00ED7CFE">
        <w:rPr>
          <w:rFonts w:ascii="Calibri" w:hAnsi="Calibri"/>
        </w:rPr>
        <w:tab/>
      </w:r>
      <w:r w:rsidRPr="00ED7CFE">
        <w:rPr>
          <w:rFonts w:ascii="Calibri" w:hAnsi="Calibri"/>
        </w:rPr>
        <w:tab/>
      </w:r>
    </w:p>
    <w:sectPr w:rsidR="00DA3A8D" w:rsidRPr="00494748" w:rsidSect="00ED7CFE"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77" w:rsidRDefault="00F80377" w:rsidP="00F959EE">
      <w:r>
        <w:separator/>
      </w:r>
    </w:p>
  </w:endnote>
  <w:endnote w:type="continuationSeparator" w:id="0">
    <w:p w:rsidR="00F80377" w:rsidRDefault="00F80377" w:rsidP="00F9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pyr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B9" w:rsidRDefault="000D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35" w:rsidRPr="009D72BB" w:rsidRDefault="00D175F9" w:rsidP="00083235">
    <w:pPr>
      <w:spacing w:line="243" w:lineRule="exact"/>
      <w:ind w:left="3880"/>
      <w:rPr>
        <w:rFonts w:ascii="Open Sans" w:hAnsi="Open Sans" w:cs="Open San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-635</wp:posOffset>
              </wp:positionV>
              <wp:extent cx="2246630" cy="73469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6630" cy="7346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83235" w:rsidRDefault="00D175F9" w:rsidP="00083235">
                          <w:r w:rsidRPr="00322E4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57400" cy="622300"/>
                                <wp:effectExtent l="0" t="0" r="0" b="0"/>
                                <wp:docPr id="3" name="Picture 3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74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-5.05pt;margin-top:-.05pt;width:176.9pt;height:5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" fillcolor="window" stroked="f" strokeweight=".5pt">
              <v:textbox>
                <w:txbxContent>
                  <w:p w:rsidR="00083235" w:rsidRDefault="00D175F9" w:rsidP="00083235">
                    <w:r w:rsidRPr="00322E44">
                      <w:rPr>
                        <w:noProof/>
                      </w:rPr>
                      <w:drawing>
                        <wp:inline distT="0" distB="0" distL="0" distR="0">
                          <wp:extent cx="2057400" cy="622300"/>
                          <wp:effectExtent l="0" t="0" r="0" b="0"/>
                          <wp:docPr id="3" name="Picture 3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74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3235" w:rsidRPr="009D72BB">
      <w:rPr>
        <w:rFonts w:ascii="Open Sans" w:hAnsi="Open Sans" w:cs="Open Sans"/>
        <w:color w:val="888A8D"/>
        <w:sz w:val="16"/>
        <w:szCs w:val="16"/>
      </w:rPr>
      <w:t>Check &amp; Connect is a comprehensive student engagement intervention</w:t>
    </w:r>
    <w:r w:rsidR="00083235" w:rsidRPr="009D72BB">
      <w:rPr>
        <w:rFonts w:ascii="Open Sans" w:hAnsi="Open Sans" w:cs="Open Sans"/>
        <w:sz w:val="16"/>
        <w:szCs w:val="16"/>
      </w:rPr>
      <w:t xml:space="preserve"> </w:t>
    </w:r>
    <w:r w:rsidR="00083235" w:rsidRPr="009D72BB">
      <w:rPr>
        <w:rFonts w:ascii="Open Sans" w:hAnsi="Open Sans" w:cs="Open Sans"/>
        <w:color w:val="888A8D"/>
        <w:sz w:val="16"/>
        <w:szCs w:val="16"/>
      </w:rPr>
      <w:t>developed at the Institute on Community Integration,</w:t>
    </w:r>
    <w:r w:rsidR="00083235" w:rsidRPr="009D72BB">
      <w:rPr>
        <w:rFonts w:ascii="Open Sans" w:hAnsi="Open Sans" w:cs="Open Sans"/>
        <w:color w:val="888A8D"/>
        <w:spacing w:val="-5"/>
        <w:sz w:val="16"/>
        <w:szCs w:val="16"/>
      </w:rPr>
      <w:t xml:space="preserve"> </w:t>
    </w:r>
    <w:r w:rsidR="00083235" w:rsidRPr="009D72BB">
      <w:rPr>
        <w:rFonts w:ascii="Open Sans" w:hAnsi="Open Sans" w:cs="Open Sans"/>
        <w:color w:val="888A8D"/>
        <w:sz w:val="16"/>
        <w:szCs w:val="16"/>
      </w:rPr>
      <w:t>University</w:t>
    </w:r>
    <w:r w:rsidR="00083235">
      <w:rPr>
        <w:rFonts w:ascii="Open Sans" w:hAnsi="Open Sans" w:cs="Open Sans"/>
        <w:sz w:val="16"/>
        <w:szCs w:val="16"/>
      </w:rPr>
      <w:t xml:space="preserve"> </w:t>
    </w:r>
    <w:r w:rsidR="00083235" w:rsidRPr="009D72BB">
      <w:rPr>
        <w:rFonts w:ascii="Open Sans" w:hAnsi="Open Sans" w:cs="Open Sans"/>
        <w:color w:val="888A8D"/>
        <w:sz w:val="16"/>
        <w:szCs w:val="16"/>
      </w:rPr>
      <w:t xml:space="preserve">of Minnesota, and implemented by schools nationwide. </w:t>
    </w:r>
    <w:r w:rsidR="00083235">
      <w:rPr>
        <w:rFonts w:ascii="Open Sans" w:hAnsi="Open Sans" w:cs="Open Sans"/>
        <w:color w:val="888A8D"/>
        <w:sz w:val="16"/>
        <w:szCs w:val="16"/>
      </w:rPr>
      <w:t xml:space="preserve">Learn more at </w:t>
    </w:r>
    <w:r w:rsidR="00083235" w:rsidRPr="009D72BB">
      <w:rPr>
        <w:rFonts w:ascii="Open Sans" w:hAnsi="Open Sans" w:cs="Open Sans"/>
        <w:b/>
        <w:color w:val="888A8D"/>
        <w:sz w:val="16"/>
        <w:szCs w:val="16"/>
      </w:rPr>
      <w:t>checkandconnect.umn.edu.</w:t>
    </w:r>
  </w:p>
  <w:p w:rsidR="00083235" w:rsidRPr="000D33B9" w:rsidRDefault="000D33B9" w:rsidP="000D33B9">
    <w:pPr>
      <w:spacing w:before="120"/>
      <w:ind w:left="3874"/>
      <w:rPr>
        <w:rFonts w:ascii="Open Sans" w:hAnsi="Open Sans" w:cs="Open Sans"/>
        <w:color w:val="888A8D"/>
        <w:sz w:val="16"/>
      </w:rPr>
    </w:pPr>
    <w:r>
      <w:rPr>
        <w:rFonts w:ascii="copyright" w:hAnsi="copyright" w:cs="Open Sans"/>
        <w:color w:val="888A8D"/>
        <w:sz w:val="16"/>
      </w:rPr>
      <w:t xml:space="preserve">© </w:t>
    </w:r>
    <w:r>
      <w:rPr>
        <w:rFonts w:ascii="Open Sans" w:hAnsi="Open Sans" w:cs="Open Sans"/>
        <w:color w:val="888A8D"/>
        <w:sz w:val="16"/>
      </w:rPr>
      <w:t>2018 Regents of the University of Minnesota. All rights reserved.</w:t>
    </w:r>
    <w:r>
      <w:rPr>
        <w:rFonts w:ascii="Open Sans" w:hAnsi="Open Sans" w:cs="Open Sans"/>
        <w:color w:val="888A8D"/>
        <w:sz w:val="16"/>
      </w:rPr>
      <w:br/>
    </w:r>
    <w:r w:rsidR="00083235" w:rsidRPr="00CC30B4">
      <w:rPr>
        <w:rFonts w:ascii="Open Sans" w:hAnsi="Open Sans" w:cs="Open Sans"/>
        <w:i/>
        <w:color w:val="888A8D"/>
        <w:sz w:val="16"/>
      </w:rPr>
      <w:t>The University of Minnesota is an equal opportunity educator and employer.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B9" w:rsidRDefault="000D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77" w:rsidRDefault="00F80377" w:rsidP="00F959EE">
      <w:r>
        <w:separator/>
      </w:r>
    </w:p>
  </w:footnote>
  <w:footnote w:type="continuationSeparator" w:id="0">
    <w:p w:rsidR="00F80377" w:rsidRDefault="00F80377" w:rsidP="00F9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B9" w:rsidRDefault="000D3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B9" w:rsidRDefault="000D3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EE" w:rsidRDefault="00D175F9" w:rsidP="00083235">
    <w:pPr>
      <w:pStyle w:val="Header"/>
      <w:jc w:val="right"/>
    </w:pPr>
    <w:r w:rsidRPr="00150955">
      <w:rPr>
        <w:noProof/>
      </w:rPr>
      <w:drawing>
        <wp:inline distT="0" distB="0" distL="0" distR="0">
          <wp:extent cx="1828800" cy="520700"/>
          <wp:effectExtent l="0" t="0" r="0" b="0"/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7221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604C56"/>
    <w:multiLevelType w:val="hybridMultilevel"/>
    <w:tmpl w:val="AC16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8D"/>
    <w:rsid w:val="00005BDA"/>
    <w:rsid w:val="00024F5B"/>
    <w:rsid w:val="00083235"/>
    <w:rsid w:val="000B55A0"/>
    <w:rsid w:val="000D33B9"/>
    <w:rsid w:val="000D659E"/>
    <w:rsid w:val="001A5289"/>
    <w:rsid w:val="001D4CB8"/>
    <w:rsid w:val="002019D5"/>
    <w:rsid w:val="00201B86"/>
    <w:rsid w:val="0024443F"/>
    <w:rsid w:val="002A0A80"/>
    <w:rsid w:val="002C6F4B"/>
    <w:rsid w:val="002D03A6"/>
    <w:rsid w:val="003275F2"/>
    <w:rsid w:val="00353DCA"/>
    <w:rsid w:val="003B1269"/>
    <w:rsid w:val="00403C58"/>
    <w:rsid w:val="00473DB5"/>
    <w:rsid w:val="00494748"/>
    <w:rsid w:val="004D40E4"/>
    <w:rsid w:val="004D723C"/>
    <w:rsid w:val="004E1EF3"/>
    <w:rsid w:val="00513AEA"/>
    <w:rsid w:val="005355B5"/>
    <w:rsid w:val="00560D9C"/>
    <w:rsid w:val="00566EC3"/>
    <w:rsid w:val="006A20C6"/>
    <w:rsid w:val="006F5578"/>
    <w:rsid w:val="00737D0B"/>
    <w:rsid w:val="007634EE"/>
    <w:rsid w:val="007D475E"/>
    <w:rsid w:val="007F36F3"/>
    <w:rsid w:val="00801165"/>
    <w:rsid w:val="00804994"/>
    <w:rsid w:val="008C6C00"/>
    <w:rsid w:val="008D67B3"/>
    <w:rsid w:val="009E2DAB"/>
    <w:rsid w:val="009E3961"/>
    <w:rsid w:val="00A67032"/>
    <w:rsid w:val="00AA6AA0"/>
    <w:rsid w:val="00AB6CED"/>
    <w:rsid w:val="00B615B4"/>
    <w:rsid w:val="00CF61B1"/>
    <w:rsid w:val="00D01818"/>
    <w:rsid w:val="00D175F9"/>
    <w:rsid w:val="00D53C97"/>
    <w:rsid w:val="00D7325B"/>
    <w:rsid w:val="00D85E2E"/>
    <w:rsid w:val="00DA3A8D"/>
    <w:rsid w:val="00E4604C"/>
    <w:rsid w:val="00EB060C"/>
    <w:rsid w:val="00ED7688"/>
    <w:rsid w:val="00ED7CFE"/>
    <w:rsid w:val="00EF1013"/>
    <w:rsid w:val="00F80377"/>
    <w:rsid w:val="00F959EE"/>
    <w:rsid w:val="00FC0169"/>
    <w:rsid w:val="00FC7E5D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8A1B0BBD-7F6A-B640-A5DB-E8790A7D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959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59EE"/>
    <w:rPr>
      <w:sz w:val="24"/>
      <w:szCs w:val="24"/>
    </w:rPr>
  </w:style>
  <w:style w:type="paragraph" w:styleId="Footer">
    <w:name w:val="footer"/>
    <w:basedOn w:val="Normal"/>
    <w:link w:val="FooterChar"/>
    <w:rsid w:val="00F959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959EE"/>
    <w:rPr>
      <w:sz w:val="24"/>
      <w:szCs w:val="24"/>
    </w:rPr>
  </w:style>
  <w:style w:type="table" w:styleId="TableGrid">
    <w:name w:val="Table Grid"/>
    <w:basedOn w:val="TableNormal"/>
    <w:rsid w:val="0073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6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66E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</dc:creator>
  <cp:keywords/>
  <cp:lastModifiedBy>Microsoft Office User</cp:lastModifiedBy>
  <cp:revision>2</cp:revision>
  <cp:lastPrinted>2013-04-10T20:10:00Z</cp:lastPrinted>
  <dcterms:created xsi:type="dcterms:W3CDTF">2018-05-08T19:16:00Z</dcterms:created>
  <dcterms:modified xsi:type="dcterms:W3CDTF">2018-05-08T19:16:00Z</dcterms:modified>
</cp:coreProperties>
</file>