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98" w:rsidRDefault="007B3098" w:rsidP="007B30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BC1C66">
        <w:rPr>
          <w:rFonts w:eastAsia="Times New Roman" w:cstheme="minorHAnsi"/>
          <w:b/>
          <w:bCs/>
          <w:color w:val="000000"/>
          <w:sz w:val="26"/>
          <w:szCs w:val="26"/>
        </w:rPr>
        <w:t>NCESD School Nurse Corps Lending Library Tutorial</w:t>
      </w:r>
    </w:p>
    <w:p w:rsidR="007B3098" w:rsidRDefault="007B3098" w:rsidP="007B30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7B3098" w:rsidRDefault="007B3098" w:rsidP="007B30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>Migrant Health SPOT Vision Screener Program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</w:p>
    <w:p w:rsidR="00537813" w:rsidRDefault="007B3098" w:rsidP="007B3098">
      <w:pPr>
        <w:shd w:val="clear" w:color="auto" w:fill="FFFFFF"/>
        <w:spacing w:after="0" w:line="240" w:lineRule="auto"/>
        <w:jc w:val="center"/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</w:p>
    <w:p w:rsidR="007B309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NCESD maintains 2 SPOT vision screeners purchased by OSPI Migrant Education Health Program. These screener have priority targets: </w:t>
      </w:r>
    </w:p>
    <w:p w:rsidR="007B3098" w:rsidRPr="001E744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</w:p>
    <w:p w:rsidR="007B3098" w:rsidRDefault="007B3098" w:rsidP="007B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NCW Migrant Youth Vision Screening Programs and Events</w:t>
      </w:r>
    </w:p>
    <w:p w:rsidR="007B3098" w:rsidRDefault="007B3098" w:rsidP="007B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MEP (Migrant Education Program) School Districts</w:t>
      </w:r>
    </w:p>
    <w:p w:rsidR="007B3098" w:rsidRDefault="007B3098" w:rsidP="007B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231B1">
        <w:rPr>
          <w:rFonts w:eastAsia="Times New Roman" w:cstheme="minorHAnsi"/>
          <w:color w:val="000000"/>
          <w:sz w:val="24"/>
          <w:szCs w:val="24"/>
        </w:rPr>
        <w:t xml:space="preserve">Grades Outside WA State Requirements (4, 6, 8, 9, 10, 11, 12 and out-of-school youth) </w:t>
      </w:r>
    </w:p>
    <w:p w:rsidR="007B3098" w:rsidRPr="00E231B1" w:rsidRDefault="007B3098" w:rsidP="007B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231B1">
        <w:rPr>
          <w:rFonts w:eastAsia="Times New Roman" w:cstheme="minorHAnsi"/>
          <w:color w:val="000000"/>
          <w:sz w:val="24"/>
          <w:szCs w:val="24"/>
        </w:rPr>
        <w:t xml:space="preserve">School Districts with Migrant Students </w:t>
      </w:r>
    </w:p>
    <w:p w:rsidR="007B3098" w:rsidRDefault="007B3098" w:rsidP="007B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All Other School Districts</w:t>
      </w:r>
    </w:p>
    <w:p w:rsidR="007B309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7B3098" w:rsidRPr="003459B1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3459B1">
        <w:rPr>
          <w:rFonts w:eastAsia="Times New Roman" w:cstheme="minorHAnsi"/>
          <w:b/>
          <w:color w:val="000000"/>
          <w:sz w:val="24"/>
          <w:szCs w:val="24"/>
        </w:rPr>
        <w:t>Program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Participation</w:t>
      </w:r>
      <w:r w:rsidRPr="003459B1">
        <w:rPr>
          <w:rFonts w:eastAsia="Times New Roman" w:cstheme="minorHAnsi"/>
          <w:b/>
          <w:color w:val="000000"/>
          <w:sz w:val="24"/>
          <w:szCs w:val="24"/>
        </w:rPr>
        <w:t xml:space="preserve"> Requirements</w:t>
      </w:r>
    </w:p>
    <w:p w:rsidR="007B3098" w:rsidRPr="001E744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</w:p>
    <w:p w:rsidR="007B3098" w:rsidRDefault="007B3098" w:rsidP="007B3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Adhere to NCESD Lending Library agreements</w:t>
      </w:r>
    </w:p>
    <w:p w:rsidR="007B3098" w:rsidRDefault="007B3098" w:rsidP="007B3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Demonstrate competency in use of the screener </w:t>
      </w:r>
    </w:p>
    <w:p w:rsidR="007B3098" w:rsidRDefault="007B3098" w:rsidP="007B3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Train other screening assistants before they use the screener</w:t>
      </w:r>
    </w:p>
    <w:p w:rsidR="007B3098" w:rsidRDefault="007B3098" w:rsidP="007B3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Maintain responsibility for the equipment </w:t>
      </w:r>
    </w:p>
    <w:p w:rsidR="007B3098" w:rsidRDefault="007B3098" w:rsidP="007B3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459B1">
        <w:rPr>
          <w:rFonts w:eastAsia="Times New Roman" w:cstheme="minorHAnsi"/>
          <w:color w:val="000000"/>
          <w:sz w:val="24"/>
          <w:szCs w:val="24"/>
        </w:rPr>
        <w:t xml:space="preserve">Coordinate, collect and report migrant student vision screening and referral data with the district’s MEP Coordinator or NCESD Migrant Education Health Coordinator. </w:t>
      </w:r>
      <w:r w:rsidR="001E7448">
        <w:rPr>
          <w:rFonts w:eastAsia="Times New Roman" w:cstheme="minorHAnsi"/>
          <w:color w:val="000000"/>
          <w:sz w:val="24"/>
          <w:szCs w:val="24"/>
        </w:rPr>
        <w:t xml:space="preserve">Migrant student data must be entered in the MEP documentation system. </w:t>
      </w:r>
    </w:p>
    <w:p w:rsidR="007B309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7B3098" w:rsidRPr="007B309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7B3098">
        <w:rPr>
          <w:rFonts w:eastAsia="Times New Roman" w:cstheme="minorHAnsi"/>
          <w:b/>
          <w:color w:val="000000"/>
          <w:sz w:val="24"/>
          <w:szCs w:val="24"/>
        </w:rPr>
        <w:t>Priority Users</w:t>
      </w:r>
    </w:p>
    <w:p w:rsidR="007B3098" w:rsidRPr="001E744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</w:p>
    <w:p w:rsidR="007B3098" w:rsidRPr="007B3098" w:rsidRDefault="007B3098" w:rsidP="007B30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B3098">
        <w:rPr>
          <w:rFonts w:eastAsia="Times New Roman" w:cstheme="minorHAnsi"/>
          <w:color w:val="000000"/>
          <w:sz w:val="24"/>
          <w:szCs w:val="24"/>
        </w:rPr>
        <w:t>Migrant Youth Vision Screening Programs</w:t>
      </w:r>
    </w:p>
    <w:p w:rsidR="007B309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7B3098" w:rsidRPr="007B3098" w:rsidRDefault="007B3098" w:rsidP="007B30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B3098">
        <w:rPr>
          <w:rFonts w:eastAsia="Times New Roman" w:cstheme="minorHAnsi"/>
          <w:color w:val="000000"/>
          <w:sz w:val="24"/>
          <w:szCs w:val="24"/>
        </w:rPr>
        <w:t>Migrant Education Program School Districts</w:t>
      </w:r>
    </w:p>
    <w:p w:rsidR="007B3098" w:rsidRPr="007B3098" w:rsidRDefault="007B3098" w:rsidP="007B3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+mn-ea" w:cstheme="minorHAnsi"/>
          <w:kern w:val="24"/>
        </w:rPr>
        <w:sectPr w:rsidR="007B30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Tonasket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Brewster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Pateros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Manson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Bridgeport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Lake Chelan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Cascade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Cashmere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Eastmont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Wenatchee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Orondo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Ephrata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Quincy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Moses Lake</w:t>
      </w:r>
    </w:p>
    <w:p w:rsidR="007B3098" w:rsidRPr="007B3098" w:rsidRDefault="007B3098" w:rsidP="007B3098">
      <w:pPr>
        <w:numPr>
          <w:ilvl w:val="0"/>
          <w:numId w:val="5"/>
        </w:numPr>
        <w:tabs>
          <w:tab w:val="clear" w:pos="360"/>
          <w:tab w:val="num" w:pos="1080"/>
          <w:tab w:val="left" w:pos="1170"/>
        </w:tabs>
        <w:spacing w:after="0" w:line="216" w:lineRule="auto"/>
        <w:ind w:left="1080"/>
        <w:contextualSpacing/>
        <w:rPr>
          <w:rFonts w:eastAsia="Times New Roman" w:cstheme="minorHAnsi"/>
        </w:rPr>
      </w:pPr>
      <w:r w:rsidRPr="007B3098">
        <w:rPr>
          <w:rFonts w:eastAsia="+mn-ea" w:cstheme="minorHAnsi"/>
          <w:kern w:val="24"/>
        </w:rPr>
        <w:t>Warden </w:t>
      </w:r>
    </w:p>
    <w:p w:rsidR="007B3098" w:rsidRDefault="007B3098" w:rsidP="007B3098">
      <w:pPr>
        <w:shd w:val="clear" w:color="auto" w:fill="FFFFFF"/>
        <w:tabs>
          <w:tab w:val="num" w:pos="450"/>
          <w:tab w:val="left" w:pos="1170"/>
        </w:tabs>
        <w:spacing w:after="0" w:line="240" w:lineRule="auto"/>
        <w:ind w:left="720" w:hanging="1267"/>
        <w:textAlignment w:val="baseline"/>
        <w:rPr>
          <w:rFonts w:eastAsia="Times New Roman" w:cstheme="minorHAnsi"/>
          <w:color w:val="000000"/>
        </w:rPr>
        <w:sectPr w:rsidR="007B3098" w:rsidSect="007B309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B3098" w:rsidRPr="007B3098" w:rsidRDefault="007B3098" w:rsidP="007B3098">
      <w:pPr>
        <w:shd w:val="clear" w:color="auto" w:fill="FFFFFF"/>
        <w:tabs>
          <w:tab w:val="num" w:pos="450"/>
          <w:tab w:val="left" w:pos="1170"/>
        </w:tabs>
        <w:spacing w:after="0" w:line="240" w:lineRule="auto"/>
        <w:ind w:left="720" w:hanging="1267"/>
        <w:textAlignment w:val="baseline"/>
        <w:rPr>
          <w:rFonts w:eastAsia="Times New Roman" w:cstheme="minorHAnsi"/>
          <w:color w:val="000000"/>
        </w:rPr>
      </w:pPr>
    </w:p>
    <w:p w:rsidR="007B3098" w:rsidRDefault="007B3098" w:rsidP="007B3098">
      <w:pPr>
        <w:pStyle w:val="ListParagraph"/>
        <w:numPr>
          <w:ilvl w:val="0"/>
          <w:numId w:val="6"/>
        </w:numPr>
      </w:pPr>
      <w:r>
        <w:t xml:space="preserve">Non-MEP Districts </w:t>
      </w:r>
    </w:p>
    <w:p w:rsidR="007B3098" w:rsidRDefault="007B3098" w:rsidP="007B3098">
      <w:pPr>
        <w:numPr>
          <w:ilvl w:val="0"/>
          <w:numId w:val="8"/>
        </w:numPr>
        <w:spacing w:line="240" w:lineRule="auto"/>
        <w:sectPr w:rsidR="007B3098" w:rsidSect="007B30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3098" w:rsidRDefault="007B3098" w:rsidP="007B3098">
      <w:pPr>
        <w:numPr>
          <w:ilvl w:val="0"/>
          <w:numId w:val="8"/>
        </w:numPr>
        <w:spacing w:after="0" w:line="240" w:lineRule="auto"/>
      </w:pPr>
      <w:r>
        <w:t>Entiat</w:t>
      </w:r>
    </w:p>
    <w:p w:rsidR="007B3098" w:rsidRDefault="007B3098" w:rsidP="007B3098">
      <w:pPr>
        <w:numPr>
          <w:ilvl w:val="0"/>
          <w:numId w:val="8"/>
        </w:numPr>
        <w:spacing w:after="0" w:line="240" w:lineRule="auto"/>
      </w:pPr>
      <w:r>
        <w:t xml:space="preserve">Grand Coulee Dam </w:t>
      </w:r>
    </w:p>
    <w:p w:rsidR="00000000" w:rsidRPr="007B3098" w:rsidRDefault="004D693E" w:rsidP="007B3098">
      <w:pPr>
        <w:numPr>
          <w:ilvl w:val="0"/>
          <w:numId w:val="8"/>
        </w:numPr>
        <w:spacing w:after="0" w:line="240" w:lineRule="auto"/>
      </w:pPr>
      <w:r w:rsidRPr="007B3098">
        <w:t>Oroville</w:t>
      </w:r>
    </w:p>
    <w:p w:rsidR="007B3098" w:rsidRDefault="007B3098" w:rsidP="007B3098">
      <w:pPr>
        <w:spacing w:after="0" w:line="240" w:lineRule="auto"/>
        <w:ind w:left="720"/>
      </w:pPr>
    </w:p>
    <w:p w:rsidR="00000000" w:rsidRPr="007B3098" w:rsidRDefault="004D693E" w:rsidP="007B3098">
      <w:pPr>
        <w:numPr>
          <w:ilvl w:val="0"/>
          <w:numId w:val="8"/>
        </w:numPr>
        <w:spacing w:after="0" w:line="240" w:lineRule="auto"/>
      </w:pPr>
      <w:r w:rsidRPr="007B3098">
        <w:t>Omak</w:t>
      </w:r>
    </w:p>
    <w:p w:rsidR="00000000" w:rsidRPr="007B3098" w:rsidRDefault="004D693E" w:rsidP="007B3098">
      <w:pPr>
        <w:numPr>
          <w:ilvl w:val="0"/>
          <w:numId w:val="8"/>
        </w:numPr>
        <w:spacing w:after="0" w:line="240" w:lineRule="auto"/>
      </w:pPr>
      <w:r w:rsidRPr="007B3098">
        <w:t>Okanogan</w:t>
      </w:r>
    </w:p>
    <w:p w:rsidR="00000000" w:rsidRPr="007B3098" w:rsidRDefault="004D693E" w:rsidP="007B3098">
      <w:pPr>
        <w:numPr>
          <w:ilvl w:val="0"/>
          <w:numId w:val="8"/>
        </w:numPr>
        <w:spacing w:after="0" w:line="240" w:lineRule="auto"/>
      </w:pPr>
      <w:r w:rsidRPr="007B3098">
        <w:t>Palisades</w:t>
      </w:r>
    </w:p>
    <w:p w:rsidR="007B3098" w:rsidRDefault="007B3098" w:rsidP="007B3098">
      <w:pPr>
        <w:spacing w:after="0" w:line="240" w:lineRule="auto"/>
        <w:ind w:left="720"/>
      </w:pPr>
    </w:p>
    <w:p w:rsidR="00000000" w:rsidRPr="007B3098" w:rsidRDefault="004D693E" w:rsidP="007B3098">
      <w:pPr>
        <w:numPr>
          <w:ilvl w:val="0"/>
          <w:numId w:val="8"/>
        </w:numPr>
        <w:spacing w:after="0" w:line="240" w:lineRule="auto"/>
      </w:pPr>
      <w:r w:rsidRPr="007B3098">
        <w:t>Soap Lake</w:t>
      </w:r>
    </w:p>
    <w:p w:rsidR="00000000" w:rsidRPr="007B3098" w:rsidRDefault="004D693E" w:rsidP="007B3098">
      <w:pPr>
        <w:numPr>
          <w:ilvl w:val="0"/>
          <w:numId w:val="8"/>
        </w:numPr>
        <w:spacing w:after="0" w:line="240" w:lineRule="auto"/>
      </w:pPr>
      <w:r w:rsidRPr="007B3098">
        <w:t>Nespelem</w:t>
      </w:r>
    </w:p>
    <w:p w:rsidR="00000000" w:rsidRPr="007B3098" w:rsidRDefault="007B3098" w:rsidP="007B3098">
      <w:pPr>
        <w:numPr>
          <w:ilvl w:val="0"/>
          <w:numId w:val="8"/>
        </w:numPr>
        <w:spacing w:after="0" w:line="240" w:lineRule="auto"/>
      </w:pPr>
      <w:r>
        <w:t>Waterville</w:t>
      </w:r>
    </w:p>
    <w:p w:rsidR="007B3098" w:rsidRDefault="007B3098" w:rsidP="007B3098">
      <w:pPr>
        <w:ind w:left="360"/>
        <w:sectPr w:rsidR="007B3098" w:rsidSect="007B3098">
          <w:type w:val="continuous"/>
          <w:pgSz w:w="12240" w:h="15840"/>
          <w:pgMar w:top="1440" w:right="1620" w:bottom="1440" w:left="1440" w:header="720" w:footer="720" w:gutter="0"/>
          <w:cols w:num="3" w:space="270"/>
          <w:docGrid w:linePitch="360"/>
        </w:sectPr>
      </w:pPr>
    </w:p>
    <w:p w:rsidR="007B3098" w:rsidRPr="007B3098" w:rsidRDefault="007B3098" w:rsidP="007B3098">
      <w:pPr>
        <w:ind w:left="360"/>
        <w:rPr>
          <w:b/>
          <w:sz w:val="24"/>
          <w:szCs w:val="24"/>
        </w:rPr>
      </w:pPr>
      <w:r w:rsidRPr="007B3098">
        <w:rPr>
          <w:b/>
          <w:sz w:val="24"/>
          <w:szCs w:val="24"/>
        </w:rPr>
        <w:t>Reservation Process</w:t>
      </w:r>
    </w:p>
    <w:p w:rsidR="007B3098" w:rsidRPr="00BC4545" w:rsidRDefault="007B3098" w:rsidP="00BC4545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16" w:lineRule="auto"/>
        <w:ind w:left="1080" w:hanging="270"/>
        <w:rPr>
          <w:rFonts w:ascii="Times New Roman" w:eastAsia="Times New Roman" w:hAnsi="Times New Roman" w:cs="Times New Roman"/>
        </w:rPr>
      </w:pPr>
      <w:r w:rsidRPr="00BC4545">
        <w:rPr>
          <w:rFonts w:ascii="Calibri" w:eastAsia="+mn-ea" w:hAnsi="Calibri" w:cs="+mn-cs"/>
          <w:kern w:val="24"/>
        </w:rPr>
        <w:t xml:space="preserve">Migrant Youth Vision Screening Events and MEP Districts have priority reservation time period – August and September – then reservations open to </w:t>
      </w:r>
      <w:r w:rsidRPr="00BC4545">
        <w:rPr>
          <w:rFonts w:ascii="Calibri" w:eastAsia="+mn-ea" w:hAnsi="Calibri" w:cs="+mn-cs"/>
          <w:kern w:val="24"/>
        </w:rPr>
        <w:t>other</w:t>
      </w:r>
      <w:r w:rsidRPr="00BC4545">
        <w:rPr>
          <w:rFonts w:ascii="Calibri" w:eastAsia="+mn-ea" w:hAnsi="Calibri" w:cs="+mn-cs"/>
          <w:kern w:val="24"/>
        </w:rPr>
        <w:t xml:space="preserve"> users</w:t>
      </w:r>
      <w:r w:rsidR="001E7448" w:rsidRPr="00BC4545">
        <w:rPr>
          <w:rFonts w:ascii="Calibri" w:eastAsia="+mn-ea" w:hAnsi="Calibri" w:cs="+mn-cs"/>
          <w:kern w:val="24"/>
        </w:rPr>
        <w:t>.</w:t>
      </w:r>
      <w:r w:rsidRPr="00BC4545">
        <w:rPr>
          <w:rFonts w:ascii="Calibri" w:eastAsia="+mn-ea" w:hAnsi="Calibri" w:cs="+mn-cs"/>
          <w:kern w:val="24"/>
        </w:rPr>
        <w:t xml:space="preserve"> </w:t>
      </w:r>
    </w:p>
    <w:p w:rsidR="007B3098" w:rsidRPr="00BC4545" w:rsidRDefault="007B3098" w:rsidP="00BC4545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16" w:lineRule="auto"/>
        <w:ind w:hanging="630"/>
        <w:rPr>
          <w:rFonts w:ascii="Times New Roman" w:eastAsia="Times New Roman" w:hAnsi="Times New Roman" w:cs="Times New Roman"/>
        </w:rPr>
      </w:pPr>
      <w:r w:rsidRPr="00BC4545">
        <w:rPr>
          <w:rFonts w:ascii="Calibri" w:eastAsia="+mn-ea" w:hAnsi="Calibri" w:cs="+mn-cs"/>
          <w:kern w:val="24"/>
        </w:rPr>
        <w:t>SNC Lending Library “Lend It</w:t>
      </w:r>
      <w:r w:rsidRPr="00BC4545">
        <w:rPr>
          <w:rFonts w:ascii="Calibri" w:eastAsia="+mn-ea" w:hAnsi="Calibri" w:cs="+mn-cs"/>
          <w:kern w:val="24"/>
        </w:rPr>
        <w:t xml:space="preserve">ems” has a description and reservation calendar. </w:t>
      </w:r>
    </w:p>
    <w:p w:rsidR="007B3098" w:rsidRDefault="007B3098" w:rsidP="007B3098">
      <w:pPr>
        <w:ind w:left="360"/>
      </w:pPr>
    </w:p>
    <w:p w:rsidR="007B3098" w:rsidRPr="007B3098" w:rsidRDefault="007B3098" w:rsidP="007B3098">
      <w:pPr>
        <w:ind w:left="360"/>
        <w:rPr>
          <w:b/>
        </w:rPr>
      </w:pPr>
      <w:r w:rsidRPr="007B3098">
        <w:rPr>
          <w:b/>
          <w:sz w:val="24"/>
          <w:szCs w:val="24"/>
        </w:rPr>
        <w:lastRenderedPageBreak/>
        <w:t>Check Out and Return</w:t>
      </w:r>
    </w:p>
    <w:p w:rsidR="007B3098" w:rsidRPr="007B3098" w:rsidRDefault="007B3098" w:rsidP="007B309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76" w:lineRule="auto"/>
        <w:ind w:left="2520" w:hanging="1710"/>
        <w:contextualSpacing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 xml:space="preserve">Equipment will be cleaned and checked by NCESD prior to distribution. </w:t>
      </w:r>
    </w:p>
    <w:p w:rsidR="007B3098" w:rsidRPr="007B3098" w:rsidRDefault="007B3098" w:rsidP="007B309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76" w:lineRule="auto"/>
        <w:ind w:left="2520" w:hanging="1710"/>
        <w:contextualSpacing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>1 unit per borrower during peak use months (September – December).*</w:t>
      </w:r>
    </w:p>
    <w:p w:rsidR="007B3098" w:rsidRPr="007B3098" w:rsidRDefault="007B3098" w:rsidP="007B309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76" w:lineRule="auto"/>
        <w:ind w:left="2520" w:hanging="1710"/>
        <w:contextualSpacing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 xml:space="preserve">2 week maximum.  </w:t>
      </w:r>
    </w:p>
    <w:p w:rsidR="007B3098" w:rsidRPr="007B3098" w:rsidRDefault="007B3098" w:rsidP="007B309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76" w:lineRule="auto"/>
        <w:ind w:left="2520" w:hanging="1710"/>
        <w:contextualSpacing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>Pick up day: Tuesday.  Return day:  No later than Friday.*</w:t>
      </w:r>
    </w:p>
    <w:p w:rsidR="007B3098" w:rsidRPr="007B3098" w:rsidRDefault="007B3098" w:rsidP="007B309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76" w:lineRule="auto"/>
        <w:ind w:left="2520" w:hanging="1710"/>
        <w:contextualSpacing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 xml:space="preserve">Borrower must pick up and return unit to NCESD in Wenatchee.* </w:t>
      </w:r>
    </w:p>
    <w:p w:rsidR="007B3098" w:rsidRPr="007B3098" w:rsidRDefault="007B3098" w:rsidP="007B3098">
      <w:pPr>
        <w:pStyle w:val="ListParagraph"/>
        <w:numPr>
          <w:ilvl w:val="1"/>
          <w:numId w:val="10"/>
        </w:numPr>
        <w:tabs>
          <w:tab w:val="clear" w:pos="1440"/>
          <w:tab w:val="num" w:pos="1080"/>
        </w:tabs>
        <w:spacing w:after="0" w:line="216" w:lineRule="auto"/>
        <w:ind w:left="1080" w:hanging="270"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 xml:space="preserve">Complete </w:t>
      </w:r>
      <w:r w:rsidR="004D693E">
        <w:rPr>
          <w:rFonts w:ascii="Calibri" w:eastAsia="+mn-ea" w:hAnsi="Calibri" w:cs="+mn-cs"/>
          <w:kern w:val="24"/>
        </w:rPr>
        <w:t xml:space="preserve">SPOPT Vision Screener </w:t>
      </w:r>
      <w:r w:rsidRPr="007B3098">
        <w:rPr>
          <w:rFonts w:ascii="Calibri" w:eastAsia="+mn-ea" w:hAnsi="Calibri" w:cs="+mn-cs"/>
          <w:kern w:val="24"/>
        </w:rPr>
        <w:t>Use Form</w:t>
      </w:r>
      <w:r>
        <w:rPr>
          <w:rFonts w:ascii="Calibri" w:eastAsia="+mn-ea" w:hAnsi="Calibri" w:cs="+mn-cs"/>
          <w:kern w:val="24"/>
        </w:rPr>
        <w:t xml:space="preserve"> on unit return. </w:t>
      </w:r>
      <w:r w:rsidRPr="007B3098">
        <w:rPr>
          <w:rFonts w:ascii="Calibri" w:eastAsia="+mn-ea" w:hAnsi="Calibri" w:cs="+mn-cs"/>
          <w:kern w:val="24"/>
        </w:rPr>
        <w:t xml:space="preserve">(Borrower, Event/District Name, Event Date(s), total number screened, total number migrant youth screened, </w:t>
      </w:r>
      <w:r>
        <w:rPr>
          <w:rFonts w:ascii="Calibri" w:eastAsia="+mn-ea" w:hAnsi="Calibri" w:cs="+mn-cs"/>
          <w:kern w:val="24"/>
        </w:rPr>
        <w:t xml:space="preserve">total number of migrant students referred, </w:t>
      </w:r>
      <w:r w:rsidRPr="007B3098">
        <w:rPr>
          <w:rFonts w:ascii="Calibri" w:eastAsia="+mn-ea" w:hAnsi="Calibri" w:cs="+mn-cs"/>
          <w:kern w:val="24"/>
        </w:rPr>
        <w:t>any equipment problems reported, all equipment and thumb</w:t>
      </w:r>
      <w:r>
        <w:rPr>
          <w:rFonts w:ascii="Calibri" w:eastAsia="+mn-ea" w:hAnsi="Calibri" w:cs="+mn-cs"/>
          <w:kern w:val="24"/>
        </w:rPr>
        <w:t xml:space="preserve"> </w:t>
      </w:r>
      <w:r w:rsidRPr="007B3098">
        <w:rPr>
          <w:rFonts w:ascii="Calibri" w:eastAsia="+mn-ea" w:hAnsi="Calibri" w:cs="+mn-cs"/>
          <w:kern w:val="24"/>
        </w:rPr>
        <w:t>drive returned)</w:t>
      </w:r>
      <w:r w:rsidR="004D693E">
        <w:rPr>
          <w:rFonts w:ascii="Calibri" w:eastAsia="+mn-ea" w:hAnsi="Calibri" w:cs="+mn-cs"/>
          <w:kern w:val="24"/>
        </w:rPr>
        <w:t>.</w:t>
      </w:r>
    </w:p>
    <w:p w:rsidR="007B3098" w:rsidRPr="007B3098" w:rsidRDefault="007B3098" w:rsidP="007B3098">
      <w:pPr>
        <w:spacing w:before="100" w:after="0" w:line="216" w:lineRule="auto"/>
        <w:ind w:left="720"/>
        <w:rPr>
          <w:rFonts w:ascii="Calibri" w:eastAsia="+mn-ea" w:hAnsi="Calibri" w:cs="+mn-cs"/>
          <w:kern w:val="24"/>
          <w:sz w:val="16"/>
          <w:szCs w:val="16"/>
        </w:rPr>
      </w:pPr>
    </w:p>
    <w:p w:rsidR="007B3098" w:rsidRPr="007B3098" w:rsidRDefault="007B3098" w:rsidP="004D693E">
      <w:pPr>
        <w:spacing w:before="100" w:after="0" w:line="216" w:lineRule="auto"/>
        <w:ind w:left="1080"/>
        <w:rPr>
          <w:rFonts w:ascii="Times New Roman" w:eastAsia="Times New Roman" w:hAnsi="Times New Roman" w:cs="Times New Roman"/>
        </w:rPr>
      </w:pPr>
      <w:r w:rsidRPr="007B3098">
        <w:rPr>
          <w:rFonts w:ascii="Calibri" w:eastAsia="+mn-ea" w:hAnsi="Calibri" w:cs="+mn-cs"/>
          <w:kern w:val="24"/>
        </w:rPr>
        <w:t xml:space="preserve">* Unless other </w:t>
      </w:r>
      <w:r w:rsidR="004D693E">
        <w:rPr>
          <w:rFonts w:ascii="Calibri" w:eastAsia="+mn-ea" w:hAnsi="Calibri" w:cs="+mn-cs"/>
          <w:kern w:val="24"/>
        </w:rPr>
        <w:t>transport</w:t>
      </w:r>
      <w:bookmarkStart w:id="0" w:name="_GoBack"/>
      <w:bookmarkEnd w:id="0"/>
      <w:r w:rsidR="004D693E">
        <w:rPr>
          <w:rFonts w:ascii="Calibri" w:eastAsia="+mn-ea" w:hAnsi="Calibri" w:cs="+mn-cs"/>
          <w:kern w:val="24"/>
        </w:rPr>
        <w:t xml:space="preserve">ation </w:t>
      </w:r>
      <w:r w:rsidRPr="007B3098">
        <w:rPr>
          <w:rFonts w:ascii="Calibri" w:eastAsia="+mn-ea" w:hAnsi="Calibri" w:cs="+mn-cs"/>
          <w:kern w:val="24"/>
        </w:rPr>
        <w:t>arrangements are made.</w:t>
      </w:r>
    </w:p>
    <w:p w:rsidR="007B3098" w:rsidRDefault="007B3098" w:rsidP="007B3098">
      <w:pPr>
        <w:ind w:left="360"/>
      </w:pPr>
    </w:p>
    <w:p w:rsidR="007B3098" w:rsidRDefault="007B3098" w:rsidP="007B3098">
      <w:pPr>
        <w:ind w:left="360"/>
        <w:rPr>
          <w:b/>
          <w:sz w:val="24"/>
          <w:szCs w:val="24"/>
        </w:rPr>
      </w:pPr>
      <w:r w:rsidRPr="007B3098">
        <w:rPr>
          <w:b/>
          <w:sz w:val="24"/>
          <w:szCs w:val="24"/>
        </w:rPr>
        <w:t>Event Coordination</w:t>
      </w:r>
      <w:r w:rsidR="001E7448">
        <w:rPr>
          <w:b/>
          <w:sz w:val="24"/>
          <w:szCs w:val="24"/>
        </w:rPr>
        <w:t xml:space="preserve"> </w:t>
      </w:r>
    </w:p>
    <w:p w:rsidR="001E7448" w:rsidRPr="001E7448" w:rsidRDefault="001E7448" w:rsidP="001E7448">
      <w:pPr>
        <w:numPr>
          <w:ilvl w:val="0"/>
          <w:numId w:val="11"/>
        </w:numPr>
        <w:spacing w:after="0" w:line="276" w:lineRule="auto"/>
        <w:ind w:left="1080" w:hanging="270"/>
        <w:contextualSpacing/>
        <w:rPr>
          <w:rFonts w:ascii="Times New Roman" w:eastAsia="Times New Roman" w:hAnsi="Times New Roman" w:cs="Times New Roman"/>
        </w:rPr>
      </w:pPr>
      <w:r w:rsidRPr="001E7448">
        <w:rPr>
          <w:rFonts w:ascii="Calibri" w:eastAsia="+mn-ea" w:hAnsi="Calibri" w:cs="+mn-cs"/>
          <w:kern w:val="24"/>
        </w:rPr>
        <w:t>S</w:t>
      </w:r>
      <w:r>
        <w:rPr>
          <w:rFonts w:ascii="Calibri" w:eastAsia="+mn-ea" w:hAnsi="Calibri" w:cs="+mn-cs"/>
          <w:kern w:val="24"/>
        </w:rPr>
        <w:t>c</w:t>
      </w:r>
      <w:r w:rsidRPr="001E7448">
        <w:rPr>
          <w:rFonts w:ascii="Calibri" w:eastAsia="+mn-ea" w:hAnsi="Calibri" w:cs="+mn-cs"/>
          <w:kern w:val="24"/>
        </w:rPr>
        <w:t xml:space="preserve">hedule screenings collaboratively with surrounding </w:t>
      </w:r>
      <w:r w:rsidR="00BC4545">
        <w:rPr>
          <w:rFonts w:ascii="Calibri" w:eastAsia="+mn-ea" w:hAnsi="Calibri" w:cs="+mn-cs"/>
          <w:kern w:val="24"/>
        </w:rPr>
        <w:t xml:space="preserve">school </w:t>
      </w:r>
      <w:r w:rsidRPr="001E7448">
        <w:rPr>
          <w:rFonts w:ascii="Calibri" w:eastAsia="+mn-ea" w:hAnsi="Calibri" w:cs="+mn-cs"/>
          <w:kern w:val="24"/>
        </w:rPr>
        <w:t xml:space="preserve">districts to maximize resources and equipment access. </w:t>
      </w:r>
    </w:p>
    <w:p w:rsidR="001E7448" w:rsidRPr="001E7448" w:rsidRDefault="001E7448" w:rsidP="001E7448">
      <w:pPr>
        <w:numPr>
          <w:ilvl w:val="0"/>
          <w:numId w:val="11"/>
        </w:numPr>
        <w:spacing w:after="0" w:line="276" w:lineRule="auto"/>
        <w:ind w:left="1080" w:hanging="270"/>
        <w:contextualSpacing/>
        <w:rPr>
          <w:rFonts w:ascii="Times New Roman" w:eastAsia="Times New Roman" w:hAnsi="Times New Roman" w:cs="Times New Roman"/>
        </w:rPr>
      </w:pPr>
      <w:r w:rsidRPr="001E7448">
        <w:rPr>
          <w:rFonts w:ascii="Calibri" w:eastAsia="+mn-ea" w:hAnsi="Calibri" w:cs="+mn-cs"/>
          <w:kern w:val="24"/>
        </w:rPr>
        <w:t xml:space="preserve">Train others on proper use of equipment and vision screening process. </w:t>
      </w:r>
    </w:p>
    <w:p w:rsidR="001E7448" w:rsidRPr="001E7448" w:rsidRDefault="001E7448" w:rsidP="001E7448">
      <w:pPr>
        <w:numPr>
          <w:ilvl w:val="0"/>
          <w:numId w:val="11"/>
        </w:numPr>
        <w:spacing w:after="0" w:line="276" w:lineRule="auto"/>
        <w:ind w:left="1080" w:hanging="270"/>
        <w:contextualSpacing/>
        <w:rPr>
          <w:rFonts w:ascii="Times New Roman" w:eastAsia="Times New Roman" w:hAnsi="Times New Roman" w:cs="Times New Roman"/>
        </w:rPr>
      </w:pPr>
      <w:r w:rsidRPr="001E7448">
        <w:rPr>
          <w:rFonts w:ascii="Calibri" w:eastAsia="+mn-ea" w:hAnsi="Calibri" w:cs="+mn-cs"/>
          <w:kern w:val="24"/>
        </w:rPr>
        <w:t xml:space="preserve">Ensure </w:t>
      </w:r>
      <w:r>
        <w:rPr>
          <w:rFonts w:ascii="Calibri" w:eastAsia="+mn-ea" w:hAnsi="Calibri" w:cs="+mn-cs"/>
          <w:kern w:val="24"/>
        </w:rPr>
        <w:t xml:space="preserve">effective </w:t>
      </w:r>
      <w:r w:rsidRPr="001E7448">
        <w:rPr>
          <w:rFonts w:ascii="Calibri" w:eastAsia="+mn-ea" w:hAnsi="Calibri" w:cs="+mn-cs"/>
          <w:kern w:val="24"/>
        </w:rPr>
        <w:t>screening environment.</w:t>
      </w:r>
    </w:p>
    <w:p w:rsidR="001E7448" w:rsidRPr="001E7448" w:rsidRDefault="001E7448" w:rsidP="001E7448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ind w:hanging="630"/>
        <w:rPr>
          <w:b/>
        </w:rPr>
      </w:pPr>
      <w:r w:rsidRPr="001E7448">
        <w:rPr>
          <w:rFonts w:ascii="Calibri" w:eastAsia="+mn-ea" w:hAnsi="Calibri" w:cs="+mn-cs"/>
          <w:kern w:val="24"/>
        </w:rPr>
        <w:t>Download data from thumb drive on completion</w:t>
      </w:r>
    </w:p>
    <w:sectPr w:rsidR="001E7448" w:rsidRPr="001E7448" w:rsidSect="007B30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3ED9"/>
    <w:multiLevelType w:val="hybridMultilevel"/>
    <w:tmpl w:val="B540F632"/>
    <w:lvl w:ilvl="0" w:tplc="A31AA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E4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03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80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81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8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66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0A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64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31CAE"/>
    <w:multiLevelType w:val="hybridMultilevel"/>
    <w:tmpl w:val="F76EC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AE45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0039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3801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E815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681E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C1667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D0AC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6D649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BE0962"/>
    <w:multiLevelType w:val="hybridMultilevel"/>
    <w:tmpl w:val="C46881DA"/>
    <w:lvl w:ilvl="0" w:tplc="F6F00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E72A7"/>
    <w:multiLevelType w:val="hybridMultilevel"/>
    <w:tmpl w:val="9EA83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B2307"/>
    <w:multiLevelType w:val="hybridMultilevel"/>
    <w:tmpl w:val="14AE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722B"/>
    <w:multiLevelType w:val="hybridMultilevel"/>
    <w:tmpl w:val="3D869FD2"/>
    <w:lvl w:ilvl="0" w:tplc="F6F00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03A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8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A9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2A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C3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C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47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6B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40678C"/>
    <w:multiLevelType w:val="hybridMultilevel"/>
    <w:tmpl w:val="12941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F4491"/>
    <w:multiLevelType w:val="hybridMultilevel"/>
    <w:tmpl w:val="1C26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76CB"/>
    <w:multiLevelType w:val="hybridMultilevel"/>
    <w:tmpl w:val="190C3BC6"/>
    <w:lvl w:ilvl="0" w:tplc="718C8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61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E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24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E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AB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6E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CC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2B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F6CBB"/>
    <w:multiLevelType w:val="hybridMultilevel"/>
    <w:tmpl w:val="744E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714F"/>
    <w:multiLevelType w:val="hybridMultilevel"/>
    <w:tmpl w:val="BF5E241A"/>
    <w:lvl w:ilvl="0" w:tplc="672E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A5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A7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0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8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47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2F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4C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A1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292560"/>
    <w:multiLevelType w:val="hybridMultilevel"/>
    <w:tmpl w:val="09DC9F3A"/>
    <w:lvl w:ilvl="0" w:tplc="23E8C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A3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D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26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7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98"/>
    <w:rsid w:val="001E7448"/>
    <w:rsid w:val="004D693E"/>
    <w:rsid w:val="00537813"/>
    <w:rsid w:val="007B3098"/>
    <w:rsid w:val="00B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20A6A-7BCC-4FB9-AC8F-AB1AA71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191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1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402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3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469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8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89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44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8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3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Meuret</dc:creator>
  <cp:keywords/>
  <dc:description/>
  <cp:lastModifiedBy>Cathy Meuret</cp:lastModifiedBy>
  <cp:revision>3</cp:revision>
  <dcterms:created xsi:type="dcterms:W3CDTF">2019-09-19T02:32:00Z</dcterms:created>
  <dcterms:modified xsi:type="dcterms:W3CDTF">2019-09-19T03:00:00Z</dcterms:modified>
</cp:coreProperties>
</file>